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BA" w:rsidRPr="000F1CBA" w:rsidRDefault="000F1CBA" w:rsidP="000F1CBA">
      <w:pPr>
        <w:pStyle w:val="Strong1"/>
        <w:jc w:val="center"/>
        <w:rPr>
          <w:rStyle w:val="Strong"/>
        </w:rPr>
      </w:pPr>
      <w:r w:rsidRPr="000F1CBA">
        <w:rPr>
          <w:rStyle w:val="Strong"/>
        </w:rPr>
        <w:t>BOSSY Y UKRAINE</w:t>
      </w:r>
    </w:p>
    <w:p w:rsidR="00415525" w:rsidRPr="000F1CBA" w:rsidRDefault="00415525" w:rsidP="00415525">
      <w:pPr>
        <w:pStyle w:val="Strong1"/>
      </w:pPr>
      <w:r w:rsidRPr="000F1CBA">
        <w:rPr>
          <w:rStyle w:val="Strong"/>
        </w:rPr>
        <w:t>Closed</w:t>
      </w:r>
    </w:p>
    <w:p w:rsidR="00415525" w:rsidRPr="000F1CBA" w:rsidRDefault="00415525" w:rsidP="00415525">
      <w:pPr>
        <w:pStyle w:val="Strong1"/>
        <w:rPr>
          <w:rStyle w:val="case-direction"/>
        </w:rPr>
      </w:pPr>
      <w:r w:rsidRPr="000F1CBA">
        <w:rPr>
          <w:rStyle w:val="case-direction"/>
        </w:rPr>
        <w:t>Expands Expression</w:t>
      </w:r>
    </w:p>
    <w:p w:rsidR="000F1CBA" w:rsidRPr="000F1CBA" w:rsidRDefault="000F1CBA"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Region &amp; Country</w:t>
      </w:r>
      <w:r w:rsidRPr="000F1CBA">
        <w:rPr>
          <w:rFonts w:ascii="Times New Roman" w:hAnsi="Times New Roman" w:cs="Times New Roman"/>
          <w:sz w:val="24"/>
          <w:szCs w:val="24"/>
        </w:rPr>
        <w:br/>
        <w:t>Ukraine, Europe</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Mode of Expression</w:t>
      </w:r>
      <w:r w:rsidRPr="000F1CBA">
        <w:rPr>
          <w:rFonts w:ascii="Times New Roman" w:hAnsi="Times New Roman" w:cs="Times New Roman"/>
          <w:sz w:val="24"/>
          <w:szCs w:val="24"/>
        </w:rPr>
        <w:br/>
      </w:r>
      <w:r w:rsidR="0013071B">
        <w:rPr>
          <w:rFonts w:ascii="Times New Roman" w:eastAsia="Times New Roman" w:hAnsi="Times New Roman" w:cs="Times New Roman"/>
          <w:sz w:val="24"/>
          <w:szCs w:val="24"/>
        </w:rPr>
        <w:t>Written Speech</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Date of Decision</w:t>
      </w:r>
      <w:r w:rsidR="00561B65" w:rsidRPr="000F1CBA">
        <w:rPr>
          <w:rFonts w:ascii="Times New Roman" w:hAnsi="Times New Roman" w:cs="Times New Roman"/>
          <w:sz w:val="24"/>
          <w:szCs w:val="24"/>
        </w:rPr>
        <w:br/>
        <w:t>November 22</w:t>
      </w:r>
      <w:r w:rsidRPr="000F1CBA">
        <w:rPr>
          <w:rFonts w:ascii="Times New Roman" w:hAnsi="Times New Roman" w:cs="Times New Roman"/>
          <w:sz w:val="24"/>
          <w:szCs w:val="24"/>
        </w:rPr>
        <w:t>, 2018</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Outcome</w:t>
      </w:r>
      <w:r w:rsidRPr="000F1CBA">
        <w:rPr>
          <w:rFonts w:ascii="Times New Roman" w:hAnsi="Times New Roman" w:cs="Times New Roman"/>
          <w:sz w:val="24"/>
          <w:szCs w:val="24"/>
        </w:rPr>
        <w:br/>
      </w:r>
      <w:r w:rsidR="00033CA5" w:rsidRPr="000F1CBA">
        <w:rPr>
          <w:rFonts w:ascii="Times New Roman" w:hAnsi="Times New Roman" w:cs="Times New Roman"/>
          <w:sz w:val="24"/>
          <w:szCs w:val="24"/>
        </w:rPr>
        <w:t xml:space="preserve">Article </w:t>
      </w:r>
      <w:r w:rsidR="007A28C1" w:rsidRPr="000F1CBA">
        <w:rPr>
          <w:rFonts w:ascii="Times New Roman" w:hAnsi="Times New Roman" w:cs="Times New Roman"/>
          <w:sz w:val="24"/>
          <w:szCs w:val="24"/>
        </w:rPr>
        <w:t>8</w:t>
      </w:r>
      <w:r w:rsidRPr="000F1CBA">
        <w:rPr>
          <w:rFonts w:ascii="Times New Roman" w:hAnsi="Times New Roman" w:cs="Times New Roman"/>
          <w:sz w:val="24"/>
          <w:szCs w:val="24"/>
        </w:rPr>
        <w:t xml:space="preserve"> Violation</w:t>
      </w:r>
      <w:r w:rsidR="00DC2BC4">
        <w:rPr>
          <w:rFonts w:ascii="Times New Roman" w:hAnsi="Times New Roman" w:cs="Times New Roman"/>
          <w:sz w:val="24"/>
          <w:szCs w:val="24"/>
        </w:rPr>
        <w:t xml:space="preserve">/ </w:t>
      </w:r>
      <w:r w:rsidR="00DC2BC4" w:rsidRPr="000F1CBA">
        <w:rPr>
          <w:rFonts w:ascii="Times New Roman" w:hAnsi="Times New Roman" w:cs="Times New Roman"/>
          <w:sz w:val="24"/>
          <w:szCs w:val="24"/>
        </w:rPr>
        <w:t xml:space="preserve">Monetary Damages / </w:t>
      </w:r>
      <w:r w:rsidR="00DC2BC4">
        <w:rPr>
          <w:rFonts w:ascii="Times New Roman" w:hAnsi="Times New Roman" w:cs="Times New Roman"/>
          <w:sz w:val="24"/>
          <w:szCs w:val="24"/>
        </w:rPr>
        <w:t>Fines</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Case Number</w:t>
      </w:r>
      <w:r w:rsidRPr="000F1CBA">
        <w:rPr>
          <w:rFonts w:ascii="Times New Roman" w:hAnsi="Times New Roman" w:cs="Times New Roman"/>
          <w:sz w:val="24"/>
          <w:szCs w:val="24"/>
        </w:rPr>
        <w:br/>
      </w:r>
      <w:r w:rsidR="00561B65" w:rsidRPr="000F1CBA">
        <w:rPr>
          <w:rFonts w:ascii="Times New Roman" w:hAnsi="Times New Roman" w:cs="Times New Roman"/>
          <w:iCs/>
          <w:sz w:val="24"/>
          <w:szCs w:val="24"/>
        </w:rPr>
        <w:t>13124/08</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Judicial Body</w:t>
      </w:r>
      <w:r w:rsidRPr="000F1CBA">
        <w:rPr>
          <w:rFonts w:ascii="Times New Roman" w:hAnsi="Times New Roman" w:cs="Times New Roman"/>
          <w:sz w:val="24"/>
          <w:szCs w:val="24"/>
        </w:rPr>
        <w:br/>
        <w:t>European Court of Human Rights (</w:t>
      </w:r>
      <w:proofErr w:type="spellStart"/>
      <w:r w:rsidRPr="000F1CBA">
        <w:rPr>
          <w:rFonts w:ascii="Times New Roman" w:hAnsi="Times New Roman" w:cs="Times New Roman"/>
          <w:sz w:val="24"/>
          <w:szCs w:val="24"/>
        </w:rPr>
        <w:t>ECtHR</w:t>
      </w:r>
      <w:proofErr w:type="spellEnd"/>
      <w:r w:rsidRPr="000F1CBA">
        <w:rPr>
          <w:rFonts w:ascii="Times New Roman" w:hAnsi="Times New Roman" w:cs="Times New Roman"/>
          <w:sz w:val="24"/>
          <w:szCs w:val="24"/>
        </w:rPr>
        <w:t>)</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Type of Law</w:t>
      </w:r>
      <w:r w:rsidRPr="000F1CBA">
        <w:rPr>
          <w:rFonts w:ascii="Times New Roman" w:hAnsi="Times New Roman" w:cs="Times New Roman"/>
          <w:sz w:val="24"/>
          <w:szCs w:val="24"/>
        </w:rPr>
        <w:br/>
        <w:t>International/Regional Human Rights Law</w:t>
      </w:r>
    </w:p>
    <w:p w:rsidR="00415525" w:rsidRP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Themes</w:t>
      </w:r>
      <w:r w:rsidRPr="000F1CBA">
        <w:rPr>
          <w:rFonts w:ascii="Times New Roman" w:hAnsi="Times New Roman" w:cs="Times New Roman"/>
          <w:sz w:val="24"/>
          <w:szCs w:val="24"/>
        </w:rPr>
        <w:br/>
      </w:r>
      <w:r w:rsidR="00DC2BC4">
        <w:rPr>
          <w:rFonts w:ascii="Times New Roman" w:eastAsia="Times New Roman" w:hAnsi="Times New Roman" w:cs="Times New Roman"/>
          <w:sz w:val="24"/>
          <w:szCs w:val="24"/>
        </w:rPr>
        <w:t>Privacy, Data Protection and Retention</w:t>
      </w:r>
    </w:p>
    <w:p w:rsidR="000F1CBA" w:rsidRDefault="00415525" w:rsidP="000F1CBA">
      <w:pPr>
        <w:spacing w:before="100" w:beforeAutospacing="1" w:after="100" w:afterAutospacing="1" w:line="240" w:lineRule="auto"/>
        <w:ind w:left="720"/>
        <w:rPr>
          <w:rFonts w:ascii="Times New Roman" w:hAnsi="Times New Roman" w:cs="Times New Roman"/>
          <w:sz w:val="24"/>
          <w:szCs w:val="24"/>
        </w:rPr>
      </w:pPr>
      <w:r w:rsidRPr="000F1CBA">
        <w:rPr>
          <w:rStyle w:val="Strong"/>
          <w:rFonts w:ascii="Times New Roman" w:hAnsi="Times New Roman" w:cs="Times New Roman"/>
          <w:sz w:val="24"/>
          <w:szCs w:val="24"/>
        </w:rPr>
        <w:t>Tags</w:t>
      </w:r>
      <w:r w:rsidRPr="000F1CBA">
        <w:rPr>
          <w:rFonts w:ascii="Times New Roman" w:hAnsi="Times New Roman" w:cs="Times New Roman"/>
          <w:sz w:val="24"/>
          <w:szCs w:val="24"/>
        </w:rPr>
        <w:br/>
      </w:r>
      <w:r w:rsidR="00764EB6">
        <w:rPr>
          <w:rFonts w:ascii="Times New Roman" w:hAnsi="Times New Roman" w:cs="Times New Roman"/>
          <w:sz w:val="24"/>
          <w:szCs w:val="24"/>
        </w:rPr>
        <w:t>Letters, Interference</w:t>
      </w:r>
      <w:bookmarkStart w:id="0" w:name="_GoBack"/>
      <w:bookmarkEnd w:id="0"/>
      <w:r w:rsidR="00433538">
        <w:rPr>
          <w:rFonts w:ascii="Times New Roman" w:hAnsi="Times New Roman" w:cs="Times New Roman"/>
          <w:sz w:val="24"/>
          <w:szCs w:val="24"/>
        </w:rPr>
        <w:t xml:space="preserve"> </w:t>
      </w:r>
    </w:p>
    <w:p w:rsidR="000F1CBA" w:rsidRPr="000F1CBA" w:rsidRDefault="000F1CBA" w:rsidP="000F1CBA">
      <w:pPr>
        <w:spacing w:before="100" w:beforeAutospacing="1" w:after="100" w:afterAutospacing="1" w:line="240" w:lineRule="auto"/>
        <w:ind w:left="720"/>
        <w:jc w:val="center"/>
        <w:rPr>
          <w:rFonts w:ascii="Times New Roman" w:hAnsi="Times New Roman" w:cs="Times New Roman"/>
          <w:b/>
          <w:sz w:val="24"/>
          <w:szCs w:val="24"/>
        </w:rPr>
      </w:pPr>
      <w:r w:rsidRPr="000F1CBA">
        <w:rPr>
          <w:rFonts w:ascii="Times New Roman" w:hAnsi="Times New Roman" w:cs="Times New Roman"/>
          <w:b/>
          <w:sz w:val="24"/>
          <w:szCs w:val="24"/>
        </w:rPr>
        <w:t>CASE ANALYSIS</w:t>
      </w:r>
    </w:p>
    <w:p w:rsidR="00415525" w:rsidRPr="000F1CBA" w:rsidRDefault="00415525" w:rsidP="008C1387">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0F1CBA">
        <w:rPr>
          <w:rFonts w:ascii="Times New Roman" w:eastAsia="Times New Roman" w:hAnsi="Times New Roman" w:cs="Times New Roman"/>
          <w:b/>
          <w:bCs/>
          <w:sz w:val="24"/>
          <w:szCs w:val="24"/>
        </w:rPr>
        <w:t>Case Summary and Outcome</w:t>
      </w:r>
    </w:p>
    <w:p w:rsidR="0057151C" w:rsidRDefault="00415525" w:rsidP="008C1387">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eastAsia="Times New Roman" w:hAnsi="Times New Roman" w:cs="Times New Roman"/>
          <w:sz w:val="24"/>
          <w:szCs w:val="24"/>
        </w:rPr>
        <w:t>The European Court of Human R</w:t>
      </w:r>
      <w:r w:rsidR="007A28C1" w:rsidRPr="000F1CBA">
        <w:rPr>
          <w:rFonts w:ascii="Times New Roman" w:eastAsia="Times New Roman" w:hAnsi="Times New Roman" w:cs="Times New Roman"/>
          <w:sz w:val="24"/>
          <w:szCs w:val="24"/>
        </w:rPr>
        <w:t>ights issued a judgment</w:t>
      </w:r>
      <w:r w:rsidRPr="000F1CBA">
        <w:rPr>
          <w:rFonts w:ascii="Times New Roman" w:eastAsia="Times New Roman" w:hAnsi="Times New Roman" w:cs="Times New Roman"/>
          <w:sz w:val="24"/>
          <w:szCs w:val="24"/>
        </w:rPr>
        <w:t xml:space="preserve"> on</w:t>
      </w:r>
      <w:r w:rsidR="00F071BE" w:rsidRPr="000F1CBA">
        <w:rPr>
          <w:rFonts w:ascii="Times New Roman" w:eastAsia="Times New Roman" w:hAnsi="Times New Roman" w:cs="Times New Roman"/>
          <w:sz w:val="24"/>
          <w:szCs w:val="24"/>
        </w:rPr>
        <w:t xml:space="preserve"> the </w:t>
      </w:r>
      <w:r w:rsidR="0023718F" w:rsidRPr="000F1CBA">
        <w:rPr>
          <w:rFonts w:ascii="Times New Roman" w:hAnsi="Times New Roman" w:cs="Times New Roman"/>
          <w:sz w:val="24"/>
          <w:szCs w:val="24"/>
        </w:rPr>
        <w:t>right in</w:t>
      </w:r>
      <w:r w:rsidR="00F071BE" w:rsidRPr="000F1CBA">
        <w:rPr>
          <w:rFonts w:ascii="Times New Roman" w:hAnsi="Times New Roman" w:cs="Times New Roman"/>
          <w:sz w:val="24"/>
          <w:szCs w:val="24"/>
        </w:rPr>
        <w:t xml:space="preserve"> respect of correspondence under Article 8 § 1. The court held that</w:t>
      </w:r>
      <w:r w:rsidR="007A28C1" w:rsidRPr="000F1CBA">
        <w:rPr>
          <w:rFonts w:ascii="Times New Roman" w:hAnsi="Times New Roman" w:cs="Times New Roman"/>
          <w:sz w:val="24"/>
          <w:szCs w:val="24"/>
        </w:rPr>
        <w:t xml:space="preserve"> monitoring </w:t>
      </w:r>
      <w:r w:rsidR="00F071BE" w:rsidRPr="000F1CBA">
        <w:rPr>
          <w:rFonts w:ascii="Times New Roman" w:hAnsi="Times New Roman" w:cs="Times New Roman"/>
          <w:sz w:val="24"/>
          <w:szCs w:val="24"/>
        </w:rPr>
        <w:t>of the applicant’s correspondence with various entities which were not exempt from monitoring under</w:t>
      </w:r>
      <w:r w:rsidR="00F46658" w:rsidRPr="000F1CBA">
        <w:rPr>
          <w:rFonts w:ascii="Times New Roman" w:hAnsi="Times New Roman" w:cs="Times New Roman"/>
          <w:sz w:val="24"/>
          <w:szCs w:val="24"/>
        </w:rPr>
        <w:t xml:space="preserve"> </w:t>
      </w:r>
      <w:r w:rsidR="00F071BE" w:rsidRPr="000F1CBA">
        <w:rPr>
          <w:rFonts w:ascii="Times New Roman" w:hAnsi="Times New Roman" w:cs="Times New Roman"/>
          <w:sz w:val="24"/>
          <w:szCs w:val="24"/>
        </w:rPr>
        <w:t>domestic law in force at the relevant time constituted a violation of applicant’s right of</w:t>
      </w:r>
      <w:r w:rsidR="007A28C1" w:rsidRPr="000F1CBA">
        <w:rPr>
          <w:rFonts w:ascii="Times New Roman" w:hAnsi="Times New Roman" w:cs="Times New Roman"/>
          <w:sz w:val="24"/>
          <w:szCs w:val="24"/>
        </w:rPr>
        <w:t xml:space="preserve"> respect for his co</w:t>
      </w:r>
      <w:r w:rsidR="00F071BE" w:rsidRPr="000F1CBA">
        <w:rPr>
          <w:rFonts w:ascii="Times New Roman" w:hAnsi="Times New Roman" w:cs="Times New Roman"/>
          <w:sz w:val="24"/>
          <w:szCs w:val="24"/>
        </w:rPr>
        <w:t xml:space="preserve">rrespondence. </w:t>
      </w:r>
    </w:p>
    <w:p w:rsidR="000F1CBA" w:rsidRPr="000F1CBA" w:rsidRDefault="000F1CBA" w:rsidP="008C1387">
      <w:pPr>
        <w:autoSpaceDE w:val="0"/>
        <w:autoSpaceDN w:val="0"/>
        <w:adjustRightInd w:val="0"/>
        <w:spacing w:after="0" w:line="240" w:lineRule="auto"/>
        <w:jc w:val="both"/>
        <w:rPr>
          <w:rFonts w:ascii="Times New Roman" w:hAnsi="Times New Roman" w:cs="Times New Roman"/>
          <w:sz w:val="24"/>
          <w:szCs w:val="24"/>
        </w:rPr>
      </w:pPr>
    </w:p>
    <w:p w:rsidR="00DC2BC4" w:rsidRDefault="00415525" w:rsidP="00F52386">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eastAsia="Times New Roman" w:hAnsi="Times New Roman" w:cs="Times New Roman"/>
          <w:sz w:val="24"/>
          <w:szCs w:val="24"/>
        </w:rPr>
        <w:t>Th</w:t>
      </w:r>
      <w:r w:rsidR="00F071BE" w:rsidRPr="000F1CBA">
        <w:rPr>
          <w:rFonts w:ascii="Times New Roman" w:eastAsia="Times New Roman" w:hAnsi="Times New Roman" w:cs="Times New Roman"/>
          <w:sz w:val="24"/>
          <w:szCs w:val="24"/>
        </w:rPr>
        <w:t xml:space="preserve">e case concerned </w:t>
      </w:r>
      <w:r w:rsidR="00F071BE" w:rsidRPr="000F1CBA">
        <w:rPr>
          <w:rFonts w:ascii="Times New Roman" w:hAnsi="Times New Roman" w:cs="Times New Roman"/>
          <w:sz w:val="24"/>
          <w:szCs w:val="24"/>
        </w:rPr>
        <w:t>Mr</w:t>
      </w:r>
      <w:r w:rsidR="008C1387" w:rsidRPr="000F1CBA">
        <w:rPr>
          <w:rFonts w:ascii="Times New Roman" w:hAnsi="Times New Roman" w:cs="Times New Roman"/>
          <w:sz w:val="24"/>
          <w:szCs w:val="24"/>
        </w:rPr>
        <w:t>.</w:t>
      </w:r>
      <w:r w:rsidR="00F071BE" w:rsidRPr="000F1CBA">
        <w:rPr>
          <w:rFonts w:ascii="Times New Roman" w:hAnsi="Times New Roman" w:cs="Times New Roman"/>
          <w:sz w:val="24"/>
          <w:szCs w:val="24"/>
        </w:rPr>
        <w:t xml:space="preserve"> </w:t>
      </w:r>
      <w:proofErr w:type="spellStart"/>
      <w:r w:rsidR="00F071BE" w:rsidRPr="000F1CBA">
        <w:rPr>
          <w:rFonts w:ascii="Times New Roman" w:hAnsi="Times New Roman" w:cs="Times New Roman"/>
          <w:sz w:val="24"/>
          <w:szCs w:val="24"/>
        </w:rPr>
        <w:t>Vasyl</w:t>
      </w:r>
      <w:proofErr w:type="spellEnd"/>
      <w:r w:rsidR="00F071BE" w:rsidRPr="000F1CBA">
        <w:rPr>
          <w:rFonts w:ascii="Times New Roman" w:hAnsi="Times New Roman" w:cs="Times New Roman"/>
          <w:sz w:val="24"/>
          <w:szCs w:val="24"/>
        </w:rPr>
        <w:t xml:space="preserve"> </w:t>
      </w:r>
      <w:proofErr w:type="spellStart"/>
      <w:r w:rsidR="00F071BE" w:rsidRPr="000F1CBA">
        <w:rPr>
          <w:rFonts w:ascii="Times New Roman" w:hAnsi="Times New Roman" w:cs="Times New Roman"/>
          <w:sz w:val="24"/>
          <w:szCs w:val="24"/>
        </w:rPr>
        <w:t>Ivanovych</w:t>
      </w:r>
      <w:proofErr w:type="spellEnd"/>
      <w:r w:rsidR="00F071BE" w:rsidRPr="000F1CBA">
        <w:rPr>
          <w:rFonts w:ascii="Times New Roman" w:hAnsi="Times New Roman" w:cs="Times New Roman"/>
          <w:sz w:val="24"/>
          <w:szCs w:val="24"/>
        </w:rPr>
        <w:t xml:space="preserve"> </w:t>
      </w:r>
      <w:proofErr w:type="spellStart"/>
      <w:r w:rsidR="00F071BE" w:rsidRPr="000F1CBA">
        <w:rPr>
          <w:rFonts w:ascii="Times New Roman" w:hAnsi="Times New Roman" w:cs="Times New Roman"/>
          <w:sz w:val="24"/>
          <w:szCs w:val="24"/>
        </w:rPr>
        <w:t>Bosyy</w:t>
      </w:r>
      <w:proofErr w:type="spellEnd"/>
      <w:r w:rsidR="00F071BE" w:rsidRPr="000F1CBA">
        <w:rPr>
          <w:rFonts w:ascii="Times New Roman" w:eastAsia="Times New Roman" w:hAnsi="Times New Roman" w:cs="Times New Roman"/>
          <w:sz w:val="24"/>
          <w:szCs w:val="24"/>
        </w:rPr>
        <w:t xml:space="preserve">, </w:t>
      </w:r>
      <w:r w:rsidRPr="000F1CBA">
        <w:rPr>
          <w:rFonts w:ascii="Times New Roman" w:eastAsia="Times New Roman" w:hAnsi="Times New Roman" w:cs="Times New Roman"/>
          <w:sz w:val="24"/>
          <w:szCs w:val="24"/>
        </w:rPr>
        <w:t xml:space="preserve">a </w:t>
      </w:r>
      <w:r w:rsidR="00F071BE" w:rsidRPr="000F1CBA">
        <w:rPr>
          <w:rFonts w:ascii="Times New Roman" w:hAnsi="Times New Roman" w:cs="Times New Roman"/>
          <w:sz w:val="24"/>
          <w:szCs w:val="24"/>
        </w:rPr>
        <w:t>Ukrainian national</w:t>
      </w:r>
      <w:r w:rsidR="008C1387" w:rsidRPr="000F1CBA">
        <w:rPr>
          <w:rFonts w:ascii="Times New Roman" w:eastAsia="Times New Roman" w:hAnsi="Times New Roman" w:cs="Times New Roman"/>
          <w:sz w:val="24"/>
          <w:szCs w:val="24"/>
        </w:rPr>
        <w:t>,</w:t>
      </w:r>
      <w:r w:rsidR="0013071B">
        <w:rPr>
          <w:rFonts w:ascii="Times New Roman" w:eastAsia="Times New Roman" w:hAnsi="Times New Roman" w:cs="Times New Roman"/>
          <w:sz w:val="24"/>
          <w:szCs w:val="24"/>
        </w:rPr>
        <w:t xml:space="preserve"> </w:t>
      </w:r>
      <w:r w:rsidR="00F52386" w:rsidRPr="000F1CBA">
        <w:rPr>
          <w:rFonts w:ascii="Times New Roman" w:eastAsia="Times New Roman" w:hAnsi="Times New Roman" w:cs="Times New Roman"/>
          <w:sz w:val="24"/>
          <w:szCs w:val="24"/>
        </w:rPr>
        <w:t>who</w:t>
      </w:r>
      <w:r w:rsidR="008C1387" w:rsidRPr="000F1CBA">
        <w:rPr>
          <w:rFonts w:ascii="Times New Roman" w:hAnsi="Times New Roman" w:cs="Times New Roman"/>
          <w:sz w:val="24"/>
          <w:szCs w:val="24"/>
        </w:rPr>
        <w:t xml:space="preserve"> </w:t>
      </w:r>
      <w:r w:rsidR="00DC2BC4">
        <w:rPr>
          <w:rFonts w:ascii="Times New Roman" w:hAnsi="Times New Roman" w:cs="Times New Roman"/>
          <w:sz w:val="24"/>
          <w:szCs w:val="24"/>
        </w:rPr>
        <w:t>was</w:t>
      </w:r>
      <w:r w:rsidR="008C1387" w:rsidRPr="000F1CBA">
        <w:rPr>
          <w:rFonts w:ascii="Times New Roman" w:hAnsi="Times New Roman" w:cs="Times New Roman"/>
          <w:sz w:val="24"/>
          <w:szCs w:val="24"/>
        </w:rPr>
        <w:t xml:space="preserve"> found guilty of aggravated robbery and sentenced to seven years’ imprisonment</w:t>
      </w:r>
      <w:r w:rsidR="00117000" w:rsidRPr="000F1CBA">
        <w:rPr>
          <w:rFonts w:ascii="Times New Roman" w:hAnsi="Times New Roman" w:cs="Times New Roman"/>
          <w:sz w:val="24"/>
          <w:szCs w:val="24"/>
        </w:rPr>
        <w:t xml:space="preserve"> on</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8 February 2008. He</w:t>
      </w:r>
      <w:r w:rsidR="00F52386" w:rsidRPr="000F1CBA">
        <w:rPr>
          <w:rFonts w:ascii="Times New Roman" w:hAnsi="Times New Roman" w:cs="Times New Roman"/>
          <w:sz w:val="24"/>
          <w:szCs w:val="24"/>
        </w:rPr>
        <w:t xml:space="preserve"> lodged a complaint </w:t>
      </w:r>
      <w:r w:rsidR="00117000" w:rsidRPr="000F1CBA">
        <w:rPr>
          <w:rFonts w:ascii="Times New Roman" w:hAnsi="Times New Roman" w:cs="Times New Roman"/>
          <w:sz w:val="24"/>
          <w:szCs w:val="24"/>
        </w:rPr>
        <w:t>with the Court against Ukrainian Government</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 xml:space="preserve">concerning </w:t>
      </w:r>
      <w:r w:rsidR="00507B6E" w:rsidRPr="000F1CBA">
        <w:rPr>
          <w:rFonts w:ascii="Times New Roman" w:hAnsi="Times New Roman" w:cs="Times New Roman"/>
          <w:sz w:val="24"/>
          <w:szCs w:val="24"/>
        </w:rPr>
        <w:t>the conditions of hi</w:t>
      </w:r>
      <w:r w:rsidR="00117000" w:rsidRPr="000F1CBA">
        <w:rPr>
          <w:rFonts w:ascii="Times New Roman" w:hAnsi="Times New Roman" w:cs="Times New Roman"/>
          <w:sz w:val="24"/>
          <w:szCs w:val="24"/>
        </w:rPr>
        <w:t>s detention, alleged ill-treatment</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by g</w:t>
      </w:r>
      <w:r w:rsidR="00DC2BC4">
        <w:rPr>
          <w:rFonts w:ascii="Times New Roman" w:hAnsi="Times New Roman" w:cs="Times New Roman"/>
          <w:sz w:val="24"/>
          <w:szCs w:val="24"/>
        </w:rPr>
        <w:t>uards in the detention facility</w:t>
      </w:r>
      <w:r w:rsidR="00117000" w:rsidRPr="000F1CBA">
        <w:rPr>
          <w:rFonts w:ascii="Times New Roman" w:hAnsi="Times New Roman" w:cs="Times New Roman"/>
          <w:sz w:val="24"/>
          <w:szCs w:val="24"/>
        </w:rPr>
        <w:t xml:space="preserve"> </w:t>
      </w:r>
      <w:r w:rsidR="00DC2BC4">
        <w:rPr>
          <w:rFonts w:ascii="Times New Roman" w:hAnsi="Times New Roman" w:cs="Times New Roman"/>
          <w:sz w:val="24"/>
          <w:szCs w:val="24"/>
        </w:rPr>
        <w:t>and alleged essentially</w:t>
      </w:r>
      <w:r w:rsidR="00117000"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lastRenderedPageBreak/>
        <w:t>monitoring of his correspondence</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in prison and alleged hindrance of the exercise of his right of individual</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application (through failure to provide him with documents for his</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application to the Court, interference with his communication with the</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 xml:space="preserve">Court and intimidation on account of his application to the Court), </w:t>
      </w:r>
      <w:r w:rsidR="00507B6E" w:rsidRPr="000F1CBA">
        <w:rPr>
          <w:rFonts w:ascii="Times New Roman" w:hAnsi="Times New Roman" w:cs="Times New Roman"/>
          <w:sz w:val="24"/>
          <w:szCs w:val="24"/>
        </w:rPr>
        <w:t>in the duration of his</w:t>
      </w:r>
      <w:r w:rsidR="00117000" w:rsidRPr="000F1CBA">
        <w:rPr>
          <w:rFonts w:ascii="Times New Roman" w:hAnsi="Times New Roman" w:cs="Times New Roman"/>
          <w:sz w:val="24"/>
          <w:szCs w:val="24"/>
        </w:rPr>
        <w:t xml:space="preserve"> detention at</w:t>
      </w:r>
      <w:r w:rsidR="00F46658" w:rsidRPr="000F1CBA">
        <w:rPr>
          <w:rFonts w:ascii="Times New Roman" w:hAnsi="Times New Roman" w:cs="Times New Roman"/>
          <w:sz w:val="24"/>
          <w:szCs w:val="24"/>
        </w:rPr>
        <w:t xml:space="preserve"> </w:t>
      </w:r>
      <w:r w:rsidR="00117000" w:rsidRPr="000F1CBA">
        <w:rPr>
          <w:rFonts w:ascii="Times New Roman" w:hAnsi="Times New Roman" w:cs="Times New Roman"/>
          <w:sz w:val="24"/>
          <w:szCs w:val="24"/>
        </w:rPr>
        <w:t>correction</w:t>
      </w:r>
      <w:r w:rsidR="00F46658" w:rsidRPr="000F1CBA">
        <w:rPr>
          <w:rFonts w:ascii="Times New Roman" w:hAnsi="Times New Roman" w:cs="Times New Roman"/>
          <w:sz w:val="24"/>
          <w:szCs w:val="24"/>
        </w:rPr>
        <w:t>al colonies</w:t>
      </w:r>
      <w:r w:rsidR="00117000" w:rsidRPr="000F1CBA">
        <w:rPr>
          <w:rFonts w:ascii="Times New Roman" w:hAnsi="Times New Roman" w:cs="Times New Roman"/>
          <w:sz w:val="24"/>
          <w:szCs w:val="24"/>
        </w:rPr>
        <w:t xml:space="preserve"> from 4 October 2006 to until his release on 25 May 2012</w:t>
      </w:r>
      <w:r w:rsidR="00F46658" w:rsidRPr="000F1CBA">
        <w:rPr>
          <w:rFonts w:ascii="Times New Roman" w:hAnsi="Times New Roman" w:cs="Times New Roman"/>
          <w:sz w:val="24"/>
          <w:szCs w:val="24"/>
        </w:rPr>
        <w:t>.</w:t>
      </w:r>
      <w:r w:rsidR="00F52386" w:rsidRPr="000F1CBA">
        <w:rPr>
          <w:rFonts w:ascii="Times New Roman" w:hAnsi="Times New Roman" w:cs="Times New Roman"/>
          <w:sz w:val="24"/>
          <w:szCs w:val="24"/>
        </w:rPr>
        <w:t xml:space="preserve"> </w:t>
      </w:r>
    </w:p>
    <w:p w:rsidR="00DC2BC4" w:rsidRDefault="00DC2BC4" w:rsidP="00F52386">
      <w:pPr>
        <w:autoSpaceDE w:val="0"/>
        <w:autoSpaceDN w:val="0"/>
        <w:adjustRightInd w:val="0"/>
        <w:spacing w:after="0" w:line="240" w:lineRule="auto"/>
        <w:jc w:val="both"/>
        <w:rPr>
          <w:rFonts w:ascii="Times New Roman" w:hAnsi="Times New Roman" w:cs="Times New Roman"/>
          <w:sz w:val="24"/>
          <w:szCs w:val="24"/>
        </w:rPr>
      </w:pPr>
    </w:p>
    <w:p w:rsidR="00415525" w:rsidRPr="000F1CBA" w:rsidRDefault="00F52386" w:rsidP="008C1387">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eastAsia="Times New Roman" w:hAnsi="Times New Roman" w:cs="Times New Roman"/>
          <w:sz w:val="24"/>
          <w:szCs w:val="24"/>
        </w:rPr>
        <w:t xml:space="preserve">The European Court held that the </w:t>
      </w:r>
      <w:r w:rsidRPr="000F1CBA">
        <w:rPr>
          <w:rFonts w:ascii="Times New Roman" w:hAnsi="Times New Roman" w:cs="Times New Roman"/>
          <w:sz w:val="24"/>
          <w:szCs w:val="24"/>
        </w:rPr>
        <w:t>domestic law had not offered an appropriate degree of protection against arbitrary interference with a prisoner’s right to respect for his correspondence and that interference with the applicant’s rights under Article 8 on account of that monitoring had not been in accordance with the law.</w:t>
      </w:r>
      <w:r w:rsidRPr="000F1CBA">
        <w:rPr>
          <w:rFonts w:ascii="Times New Roman" w:eastAsia="Times New Roman" w:hAnsi="Times New Roman" w:cs="Times New Roman"/>
          <w:sz w:val="24"/>
          <w:szCs w:val="24"/>
        </w:rPr>
        <w:t xml:space="preserve"> </w:t>
      </w:r>
    </w:p>
    <w:p w:rsidR="00415525" w:rsidRPr="000F1CBA" w:rsidRDefault="00415525" w:rsidP="00F46658">
      <w:pPr>
        <w:spacing w:after="0" w:line="240" w:lineRule="auto"/>
        <w:jc w:val="both"/>
        <w:rPr>
          <w:rFonts w:ascii="Times New Roman" w:eastAsia="Times New Roman" w:hAnsi="Times New Roman" w:cs="Times New Roman"/>
          <w:sz w:val="24"/>
          <w:szCs w:val="24"/>
        </w:rPr>
      </w:pPr>
    </w:p>
    <w:p w:rsidR="00415525" w:rsidRPr="000F1CBA" w:rsidRDefault="00415525" w:rsidP="00415525">
      <w:pPr>
        <w:spacing w:before="100" w:beforeAutospacing="1" w:after="100" w:afterAutospacing="1" w:line="240" w:lineRule="auto"/>
        <w:outlineLvl w:val="2"/>
        <w:rPr>
          <w:rFonts w:ascii="Times New Roman" w:eastAsia="Times New Roman" w:hAnsi="Times New Roman" w:cs="Times New Roman"/>
          <w:b/>
          <w:bCs/>
          <w:sz w:val="24"/>
          <w:szCs w:val="24"/>
        </w:rPr>
      </w:pPr>
      <w:r w:rsidRPr="000F1CBA">
        <w:rPr>
          <w:rFonts w:ascii="Times New Roman" w:eastAsia="Times New Roman" w:hAnsi="Times New Roman" w:cs="Times New Roman"/>
          <w:b/>
          <w:bCs/>
          <w:sz w:val="24"/>
          <w:szCs w:val="24"/>
        </w:rPr>
        <w:t>Facts</w:t>
      </w:r>
    </w:p>
    <w:p w:rsidR="00561B65" w:rsidRPr="000F1CBA" w:rsidRDefault="00561B65" w:rsidP="008310BB">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In 2005 to 2006 the applicant was prosecuted for various crimes. He was eventually found guilty of aggravated robbery and sentenced to seven years’ imprisonment, the final decision having been adopted on 19 September 2006.</w:t>
      </w:r>
      <w:r w:rsidRPr="000F1CBA">
        <w:rPr>
          <w:rFonts w:ascii="Times New Roman" w:eastAsia="Times New Roman" w:hAnsi="Times New Roman" w:cs="Times New Roman"/>
          <w:sz w:val="24"/>
          <w:szCs w:val="24"/>
        </w:rPr>
        <w:t xml:space="preserve"> </w:t>
      </w:r>
      <w:r w:rsidRPr="000F1CBA">
        <w:rPr>
          <w:rFonts w:ascii="Times New Roman" w:hAnsi="Times New Roman" w:cs="Times New Roman"/>
          <w:sz w:val="24"/>
          <w:szCs w:val="24"/>
        </w:rPr>
        <w:t xml:space="preserve">From 27 May 2005 to 3 October 2006 the applicant was detained at a pre-trial detention </w:t>
      </w:r>
      <w:proofErr w:type="spellStart"/>
      <w:r w:rsidRPr="000F1CBA">
        <w:rPr>
          <w:rFonts w:ascii="Times New Roman" w:hAnsi="Times New Roman" w:cs="Times New Roman"/>
          <w:sz w:val="24"/>
          <w:szCs w:val="24"/>
        </w:rPr>
        <w:t>centre</w:t>
      </w:r>
      <w:proofErr w:type="spellEnd"/>
      <w:r w:rsidRPr="000F1CBA">
        <w:rPr>
          <w:rFonts w:ascii="Times New Roman" w:hAnsi="Times New Roman" w:cs="Times New Roman"/>
          <w:sz w:val="24"/>
          <w:szCs w:val="24"/>
        </w:rPr>
        <w:t xml:space="preserve"> (SIZO) in </w:t>
      </w:r>
      <w:proofErr w:type="spellStart"/>
      <w:r w:rsidRPr="000F1CBA">
        <w:rPr>
          <w:rFonts w:ascii="Times New Roman" w:hAnsi="Times New Roman" w:cs="Times New Roman"/>
          <w:sz w:val="24"/>
          <w:szCs w:val="24"/>
        </w:rPr>
        <w:t>Kropyvnytskyi</w:t>
      </w:r>
      <w:proofErr w:type="spellEnd"/>
      <w:r w:rsidRPr="000F1CBA">
        <w:rPr>
          <w:rFonts w:ascii="Times New Roman" w:hAnsi="Times New Roman" w:cs="Times New Roman"/>
          <w:sz w:val="24"/>
          <w:szCs w:val="24"/>
        </w:rPr>
        <w:t xml:space="preserve"> (then named Kirovograd).</w:t>
      </w: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 xml:space="preserve">From 4 October 2006 to 20 March 2008 the applicant was detained at correctional colony no. 6 in </w:t>
      </w:r>
      <w:proofErr w:type="spellStart"/>
      <w:r w:rsidRPr="000F1CBA">
        <w:rPr>
          <w:rFonts w:ascii="Times New Roman" w:hAnsi="Times New Roman" w:cs="Times New Roman"/>
          <w:sz w:val="24"/>
          <w:szCs w:val="24"/>
        </w:rPr>
        <w:t>Kropyvnytskyi</w:t>
      </w:r>
      <w:proofErr w:type="spellEnd"/>
      <w:r w:rsidRPr="000F1CBA">
        <w:rPr>
          <w:rFonts w:ascii="Times New Roman" w:hAnsi="Times New Roman" w:cs="Times New Roman"/>
          <w:sz w:val="24"/>
          <w:szCs w:val="24"/>
        </w:rPr>
        <w:t xml:space="preserve"> (hereinafter “the first colony”). According to the applicant, he was held in a dormitory measuring 6 by 8 sq. m and containing twelve double bunk beds. The Government submitted that the dormitory concerned measured 41.68 sq. m and contained ten single beds. They submitted photographs supposedly corroborating their submissions in that regard.</w:t>
      </w: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The applicant alleged that electricity in the colony had been regularly switched off. The Government submitted that electricity w</w:t>
      </w:r>
      <w:r w:rsidR="00DC2BC4">
        <w:rPr>
          <w:rFonts w:ascii="Times New Roman" w:hAnsi="Times New Roman" w:cs="Times New Roman"/>
          <w:sz w:val="24"/>
          <w:szCs w:val="24"/>
        </w:rPr>
        <w:t>as supplied round the clock but</w:t>
      </w:r>
      <w:r w:rsidRPr="000F1CBA">
        <w:rPr>
          <w:rFonts w:ascii="Times New Roman" w:hAnsi="Times New Roman" w:cs="Times New Roman"/>
          <w:sz w:val="24"/>
          <w:szCs w:val="24"/>
        </w:rPr>
        <w:t xml:space="preserve"> to reduce power consumption as part of a nationwide energy-saving strategy, the voltage of the general lighting in the institution had been reduced from 220 to 110 V. The applicant</w:t>
      </w:r>
      <w:r w:rsidR="00DC2BC4">
        <w:rPr>
          <w:rFonts w:ascii="Times New Roman" w:hAnsi="Times New Roman" w:cs="Times New Roman"/>
          <w:sz w:val="24"/>
          <w:szCs w:val="24"/>
        </w:rPr>
        <w:t xml:space="preserve"> submitted that that meant that</w:t>
      </w:r>
      <w:r w:rsidRPr="000F1CBA">
        <w:rPr>
          <w:rFonts w:ascii="Times New Roman" w:hAnsi="Times New Roman" w:cs="Times New Roman"/>
          <w:sz w:val="24"/>
          <w:szCs w:val="24"/>
        </w:rPr>
        <w:t xml:space="preserve"> even when the lighting had been on, the cell had been dimly lit and the light insufficient for activities such as reading and sewing.</w:t>
      </w:r>
      <w:r w:rsidR="0013071B">
        <w:rPr>
          <w:rFonts w:ascii="Times New Roman" w:hAnsi="Times New Roman" w:cs="Times New Roman"/>
          <w:sz w:val="24"/>
          <w:szCs w:val="24"/>
        </w:rPr>
        <w:t xml:space="preserve"> </w:t>
      </w:r>
      <w:r w:rsidRPr="000F1CBA">
        <w:rPr>
          <w:rFonts w:ascii="Times New Roman" w:hAnsi="Times New Roman" w:cs="Times New Roman"/>
          <w:sz w:val="24"/>
          <w:szCs w:val="24"/>
        </w:rPr>
        <w:t>The applicant also alleged that he had not been given the essential items and that he had been “beaten, humiliated, tortured [and] placed in a disciplinary cell”. In particular, he alleged that he had been beaten on arrival at the colony on 4 October 2006 and that the guards had tried to place him into a psychiatric clinic in March 2007. The Government denied those allegations.</w:t>
      </w:r>
      <w:r w:rsidRPr="000F1CBA">
        <w:rPr>
          <w:rFonts w:ascii="Times New Roman" w:eastAsia="Times New Roman" w:hAnsi="Times New Roman" w:cs="Times New Roman"/>
          <w:sz w:val="24"/>
          <w:szCs w:val="24"/>
        </w:rPr>
        <w:t xml:space="preserve"> </w:t>
      </w: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p>
    <w:p w:rsidR="00E82066" w:rsidRPr="000F1CBA" w:rsidRDefault="00E82066" w:rsidP="008310BB">
      <w:pPr>
        <w:autoSpaceDE w:val="0"/>
        <w:autoSpaceDN w:val="0"/>
        <w:adjustRightInd w:val="0"/>
        <w:spacing w:after="0" w:line="240" w:lineRule="auto"/>
        <w:jc w:val="both"/>
        <w:rPr>
          <w:rFonts w:ascii="Times New Roman" w:eastAsia="Times New Roman" w:hAnsi="Times New Roman" w:cs="Times New Roman"/>
          <w:sz w:val="24"/>
          <w:szCs w:val="24"/>
        </w:rPr>
      </w:pPr>
      <w:r w:rsidRPr="000F1CBA">
        <w:rPr>
          <w:rFonts w:ascii="Times New Roman" w:hAnsi="Times New Roman" w:cs="Times New Roman"/>
          <w:sz w:val="24"/>
          <w:szCs w:val="24"/>
        </w:rPr>
        <w:t xml:space="preserve">On 23 May 2008 the applicant was transferred to correctional colony no. 78 in the village of </w:t>
      </w:r>
      <w:proofErr w:type="spellStart"/>
      <w:r w:rsidRPr="000F1CBA">
        <w:rPr>
          <w:rFonts w:ascii="Times New Roman" w:hAnsi="Times New Roman" w:cs="Times New Roman"/>
          <w:sz w:val="24"/>
          <w:szCs w:val="24"/>
        </w:rPr>
        <w:t>Raikivtsi</w:t>
      </w:r>
      <w:proofErr w:type="spellEnd"/>
      <w:r w:rsidRPr="000F1CBA">
        <w:rPr>
          <w:rFonts w:ascii="Times New Roman" w:hAnsi="Times New Roman" w:cs="Times New Roman"/>
          <w:sz w:val="24"/>
          <w:szCs w:val="24"/>
        </w:rPr>
        <w:t xml:space="preserve">, </w:t>
      </w:r>
      <w:proofErr w:type="spellStart"/>
      <w:r w:rsidRPr="000F1CBA">
        <w:rPr>
          <w:rFonts w:ascii="Times New Roman" w:hAnsi="Times New Roman" w:cs="Times New Roman"/>
          <w:sz w:val="24"/>
          <w:szCs w:val="24"/>
        </w:rPr>
        <w:t>Khmelnytsk</w:t>
      </w:r>
      <w:proofErr w:type="spellEnd"/>
      <w:r w:rsidRPr="000F1CBA">
        <w:rPr>
          <w:rFonts w:ascii="Times New Roman" w:hAnsi="Times New Roman" w:cs="Times New Roman"/>
          <w:sz w:val="24"/>
          <w:szCs w:val="24"/>
        </w:rPr>
        <w:t xml:space="preserve"> Region (hereinafter “the second colony”), where he stayed until his release on 25 May 2012.</w:t>
      </w:r>
      <w:r w:rsidRPr="000F1CBA">
        <w:rPr>
          <w:rFonts w:ascii="Times New Roman" w:eastAsia="Times New Roman" w:hAnsi="Times New Roman" w:cs="Times New Roman"/>
          <w:sz w:val="24"/>
          <w:szCs w:val="24"/>
        </w:rPr>
        <w:t xml:space="preserve"> </w:t>
      </w:r>
      <w:r w:rsidRPr="000F1CBA">
        <w:rPr>
          <w:rFonts w:ascii="Times New Roman" w:hAnsi="Times New Roman" w:cs="Times New Roman"/>
          <w:sz w:val="24"/>
          <w:szCs w:val="24"/>
        </w:rPr>
        <w:t>The applicant alleged that he had been repeatedly ill-treated by prison guards, that the prison authorities had intercepted, reviewed, blocked and delayed his correspondence, particularly that with the Court and the Parliamentary Commissioner for Human Rights, and had persecuted and threatened him for having applied to the Court. The Government denied those allegations.</w:t>
      </w:r>
      <w:r w:rsidRPr="000F1CBA">
        <w:rPr>
          <w:rFonts w:ascii="Times New Roman" w:eastAsia="Times New Roman" w:hAnsi="Times New Roman" w:cs="Times New Roman"/>
          <w:sz w:val="24"/>
          <w:szCs w:val="24"/>
        </w:rPr>
        <w:t xml:space="preserve"> </w:t>
      </w:r>
    </w:p>
    <w:p w:rsidR="00E82066" w:rsidRPr="000F1CBA" w:rsidRDefault="00E82066" w:rsidP="008310BB">
      <w:pPr>
        <w:autoSpaceDE w:val="0"/>
        <w:autoSpaceDN w:val="0"/>
        <w:adjustRightInd w:val="0"/>
        <w:spacing w:after="0" w:line="240" w:lineRule="auto"/>
        <w:jc w:val="both"/>
        <w:rPr>
          <w:rFonts w:ascii="Times New Roman" w:eastAsia="Times New Roman" w:hAnsi="Times New Roman" w:cs="Times New Roman"/>
          <w:sz w:val="24"/>
          <w:szCs w:val="24"/>
        </w:rPr>
      </w:pP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 xml:space="preserve">It appears from the documents submitted by the parties that the applicant complained many times to various domestic authorities, notably the prosecutor’s office, alleging, in general, ill-treatment </w:t>
      </w:r>
      <w:r w:rsidRPr="000F1CBA">
        <w:rPr>
          <w:rFonts w:ascii="Times New Roman" w:hAnsi="Times New Roman" w:cs="Times New Roman"/>
          <w:sz w:val="24"/>
          <w:szCs w:val="24"/>
        </w:rPr>
        <w:lastRenderedPageBreak/>
        <w:t>and persecution by the prison authorities. In May and August 2010 he withdrew two of his complaints, stating that they had been lodged in a state of heightened emotions.</w:t>
      </w:r>
    </w:p>
    <w:p w:rsidR="00E82066" w:rsidRPr="000F1CBA" w:rsidRDefault="00E82066" w:rsidP="008310BB">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eastAsia="Times New Roman" w:hAnsi="Times New Roman" w:cs="Times New Roman"/>
          <w:sz w:val="24"/>
          <w:szCs w:val="24"/>
        </w:rPr>
        <w:t xml:space="preserve"> </w:t>
      </w:r>
    </w:p>
    <w:p w:rsidR="00415525" w:rsidRDefault="00E82066" w:rsidP="008310BB">
      <w:pPr>
        <w:autoSpaceDE w:val="0"/>
        <w:autoSpaceDN w:val="0"/>
        <w:adjustRightInd w:val="0"/>
        <w:spacing w:after="0" w:line="240" w:lineRule="auto"/>
        <w:jc w:val="both"/>
        <w:rPr>
          <w:rFonts w:ascii="Times New Roman" w:eastAsia="Times New Roman" w:hAnsi="Times New Roman" w:cs="Times New Roman"/>
          <w:sz w:val="24"/>
          <w:szCs w:val="24"/>
        </w:rPr>
      </w:pPr>
      <w:r w:rsidRPr="000F1CBA">
        <w:rPr>
          <w:rFonts w:ascii="Times New Roman" w:hAnsi="Times New Roman" w:cs="Times New Roman"/>
          <w:sz w:val="24"/>
          <w:szCs w:val="24"/>
        </w:rPr>
        <w:t>Registers of incoming and outgoing mail from the correctional colonies submitted by the Government show that, in the period from 17 June 2008 to 1 December 2011 – the only period of the applicant’s detention for which specific information in this regard is available – the applicant sent and received more than sixty letters to and from various</w:t>
      </w:r>
      <w:r w:rsidR="0013071B">
        <w:rPr>
          <w:rFonts w:ascii="Times New Roman" w:hAnsi="Times New Roman" w:cs="Times New Roman"/>
          <w:sz w:val="24"/>
          <w:szCs w:val="24"/>
        </w:rPr>
        <w:t xml:space="preserve"> </w:t>
      </w:r>
      <w:r w:rsidRPr="000F1CBA">
        <w:rPr>
          <w:rFonts w:ascii="Times New Roman" w:hAnsi="Times New Roman" w:cs="Times New Roman"/>
          <w:sz w:val="24"/>
          <w:szCs w:val="24"/>
        </w:rPr>
        <w:t>public entities, most notably various domestic courts, disciplinary commissions of judges, members of Parliament and the Presidential Administ</w:t>
      </w:r>
      <w:r w:rsidR="0013071B">
        <w:rPr>
          <w:rFonts w:ascii="Times New Roman" w:hAnsi="Times New Roman" w:cs="Times New Roman"/>
          <w:sz w:val="24"/>
          <w:szCs w:val="24"/>
        </w:rPr>
        <w:t>ration. Under domestic law,</w:t>
      </w:r>
      <w:r w:rsidRPr="000F1CBA">
        <w:rPr>
          <w:rFonts w:ascii="Times New Roman" w:hAnsi="Times New Roman" w:cs="Times New Roman"/>
          <w:sz w:val="24"/>
          <w:szCs w:val="24"/>
        </w:rPr>
        <w:t xml:space="preserve"> this correspondence was subject to monitoring by the prison authorities. The prison registers show that the applicant also corresponded extensively with other entities, namely prosecutors, the Parliamentary Commissioner for Human Rights</w:t>
      </w:r>
      <w:r w:rsidR="0013071B">
        <w:rPr>
          <w:rFonts w:ascii="Times New Roman" w:hAnsi="Times New Roman" w:cs="Times New Roman"/>
          <w:sz w:val="24"/>
          <w:szCs w:val="24"/>
        </w:rPr>
        <w:t xml:space="preserve"> and the Court. These correspondence were</w:t>
      </w:r>
      <w:r w:rsidRPr="000F1CBA">
        <w:rPr>
          <w:rFonts w:ascii="Times New Roman" w:hAnsi="Times New Roman" w:cs="Times New Roman"/>
          <w:sz w:val="24"/>
          <w:szCs w:val="24"/>
        </w:rPr>
        <w:t>, under domestic law, exempted from monitoring.</w:t>
      </w:r>
      <w:r w:rsidRPr="000F1CBA">
        <w:rPr>
          <w:rFonts w:ascii="Times New Roman" w:eastAsia="Times New Roman" w:hAnsi="Times New Roman" w:cs="Times New Roman"/>
          <w:sz w:val="24"/>
          <w:szCs w:val="24"/>
        </w:rPr>
        <w:t xml:space="preserve"> </w:t>
      </w:r>
    </w:p>
    <w:p w:rsidR="0013071B" w:rsidRPr="0013071B" w:rsidRDefault="0013071B" w:rsidP="008310BB">
      <w:pPr>
        <w:autoSpaceDE w:val="0"/>
        <w:autoSpaceDN w:val="0"/>
        <w:adjustRightInd w:val="0"/>
        <w:spacing w:after="0" w:line="240" w:lineRule="auto"/>
        <w:jc w:val="both"/>
        <w:rPr>
          <w:rFonts w:ascii="Times New Roman" w:hAnsi="Times New Roman" w:cs="Times New Roman"/>
          <w:sz w:val="24"/>
          <w:szCs w:val="24"/>
        </w:rPr>
      </w:pPr>
    </w:p>
    <w:p w:rsidR="008310BB" w:rsidRPr="0013071B" w:rsidRDefault="008310BB" w:rsidP="008310BB">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The Government also submitted a number of cover letters prepared by the prison authorities relating to the letters sent out by the applicant. For instance, in a cover letter of November 2011 to the Judges Qualifications Commission of Ukraine the governor of the second colony stated that he was forwarding a letter by the applicant concerning the initiation of criminal proceedings against the judges of the trial court that had convicted him.</w:t>
      </w:r>
      <w:r w:rsidRPr="000F1CBA">
        <w:rPr>
          <w:rFonts w:ascii="Times New Roman" w:eastAsia="Times New Roman" w:hAnsi="Times New Roman" w:cs="Times New Roman"/>
          <w:sz w:val="24"/>
          <w:szCs w:val="24"/>
        </w:rPr>
        <w:t xml:space="preserve"> </w:t>
      </w:r>
      <w:r w:rsidRPr="000F1CBA">
        <w:rPr>
          <w:rFonts w:ascii="Times New Roman" w:hAnsi="Times New Roman" w:cs="Times New Roman"/>
          <w:sz w:val="24"/>
          <w:szCs w:val="24"/>
        </w:rPr>
        <w:t>The applicant alleged that the domestic authorities had denied him access to his criminal case file, thus preventing him from obtaining copies of documents related to his application to the Court. The Government denied those allegations. They submitted documents from the domestic courts showing that the applicant had examined his criminal case file on 23 December 2001 and 11 January 2012 and that, by a letter of 25 January 2012, the trial court had sent him a number of copies of documents from that file.</w:t>
      </w:r>
      <w:r w:rsidRPr="000F1CBA">
        <w:rPr>
          <w:rFonts w:ascii="Times New Roman" w:eastAsia="Times New Roman" w:hAnsi="Times New Roman" w:cs="Times New Roman"/>
          <w:sz w:val="24"/>
          <w:szCs w:val="24"/>
        </w:rPr>
        <w:t xml:space="preserve"> </w:t>
      </w:r>
    </w:p>
    <w:p w:rsidR="008310BB" w:rsidRPr="000F1CBA" w:rsidRDefault="008310BB" w:rsidP="008310BB">
      <w:pPr>
        <w:autoSpaceDE w:val="0"/>
        <w:autoSpaceDN w:val="0"/>
        <w:adjustRightInd w:val="0"/>
        <w:spacing w:after="0" w:line="240" w:lineRule="auto"/>
        <w:jc w:val="both"/>
        <w:rPr>
          <w:rFonts w:ascii="Times New Roman" w:hAnsi="Times New Roman" w:cs="Times New Roman"/>
          <w:sz w:val="24"/>
          <w:szCs w:val="24"/>
        </w:rPr>
      </w:pPr>
    </w:p>
    <w:p w:rsidR="009B1D05" w:rsidRDefault="008310BB" w:rsidP="00764EB6">
      <w:pPr>
        <w:autoSpaceDE w:val="0"/>
        <w:autoSpaceDN w:val="0"/>
        <w:adjustRightInd w:val="0"/>
        <w:spacing w:after="0" w:line="240" w:lineRule="auto"/>
        <w:jc w:val="both"/>
        <w:rPr>
          <w:rFonts w:ascii="Times New Roman" w:eastAsia="Times New Roman" w:hAnsi="Times New Roman" w:cs="Times New Roman"/>
          <w:sz w:val="24"/>
          <w:szCs w:val="24"/>
        </w:rPr>
      </w:pPr>
      <w:r w:rsidRPr="000F1CBA">
        <w:rPr>
          <w:rFonts w:ascii="Times New Roman" w:hAnsi="Times New Roman" w:cs="Times New Roman"/>
          <w:sz w:val="24"/>
          <w:szCs w:val="24"/>
        </w:rPr>
        <w:t>After sending the Court an authority form empowering Mr</w:t>
      </w:r>
      <w:r w:rsidR="00B828A7" w:rsidRPr="000F1CBA">
        <w:rPr>
          <w:rFonts w:ascii="Times New Roman" w:hAnsi="Times New Roman" w:cs="Times New Roman"/>
          <w:sz w:val="24"/>
          <w:szCs w:val="24"/>
        </w:rPr>
        <w:t>.</w:t>
      </w:r>
      <w:r w:rsidRPr="000F1CBA">
        <w:rPr>
          <w:rFonts w:ascii="Times New Roman" w:hAnsi="Times New Roman" w:cs="Times New Roman"/>
          <w:sz w:val="24"/>
          <w:szCs w:val="24"/>
        </w:rPr>
        <w:t xml:space="preserve"> Markov to represent him, the applicant sent the Court two letters, in April 2014 and April 2015, informing it that he wished to revoke the lawyer’s authority. He said that the lawyer, by seeking to derive financial benefit from the case, had demonstrated conduct unworthy of his status.</w:t>
      </w:r>
      <w:r w:rsidRPr="000F1CBA">
        <w:rPr>
          <w:rFonts w:ascii="Times New Roman" w:eastAsia="Times New Roman" w:hAnsi="Times New Roman" w:cs="Times New Roman"/>
          <w:sz w:val="24"/>
          <w:szCs w:val="24"/>
        </w:rPr>
        <w:t xml:space="preserve"> </w:t>
      </w:r>
      <w:r w:rsidRPr="000F1CBA">
        <w:rPr>
          <w:rFonts w:ascii="Times New Roman" w:hAnsi="Times New Roman" w:cs="Times New Roman"/>
          <w:sz w:val="24"/>
          <w:szCs w:val="24"/>
        </w:rPr>
        <w:t>In subsequent correspondence between the Registry, the applicant and the lawyer it transpired that the applicant was apparently upset about the lawyer’s inability to help him with matters unrelated to the proceedings before the Court, such as sending him various goods and representation in unrelated domestic judicial and pardon proceedings.</w:t>
      </w:r>
      <w:r w:rsidRPr="000F1CBA">
        <w:rPr>
          <w:rFonts w:ascii="Times New Roman" w:eastAsia="Times New Roman" w:hAnsi="Times New Roman" w:cs="Times New Roman"/>
          <w:sz w:val="24"/>
          <w:szCs w:val="24"/>
        </w:rPr>
        <w:t xml:space="preserve"> </w:t>
      </w:r>
    </w:p>
    <w:p w:rsidR="00764EB6" w:rsidRDefault="00764EB6" w:rsidP="00764EB6">
      <w:pPr>
        <w:autoSpaceDE w:val="0"/>
        <w:autoSpaceDN w:val="0"/>
        <w:adjustRightInd w:val="0"/>
        <w:spacing w:after="0" w:line="240" w:lineRule="auto"/>
        <w:jc w:val="both"/>
        <w:rPr>
          <w:rFonts w:ascii="Times New Roman" w:eastAsia="Times New Roman" w:hAnsi="Times New Roman" w:cs="Times New Roman"/>
          <w:sz w:val="24"/>
          <w:szCs w:val="24"/>
        </w:rPr>
      </w:pPr>
    </w:p>
    <w:p w:rsidR="00764EB6" w:rsidRPr="00764EB6" w:rsidRDefault="00764EB6" w:rsidP="00764EB6">
      <w:pPr>
        <w:autoSpaceDE w:val="0"/>
        <w:autoSpaceDN w:val="0"/>
        <w:adjustRightInd w:val="0"/>
        <w:spacing w:after="0" w:line="240" w:lineRule="auto"/>
        <w:jc w:val="both"/>
        <w:rPr>
          <w:rFonts w:ascii="Times New Roman" w:eastAsia="Times New Roman" w:hAnsi="Times New Roman" w:cs="Times New Roman"/>
          <w:sz w:val="24"/>
          <w:szCs w:val="24"/>
        </w:rPr>
      </w:pPr>
    </w:p>
    <w:p w:rsidR="00415525" w:rsidRPr="000F1CBA" w:rsidRDefault="00415525" w:rsidP="00415525">
      <w:pPr>
        <w:spacing w:before="100" w:beforeAutospacing="1" w:after="100" w:afterAutospacing="1" w:line="240" w:lineRule="auto"/>
        <w:outlineLvl w:val="2"/>
        <w:rPr>
          <w:rFonts w:ascii="Times New Roman" w:eastAsia="Times New Roman" w:hAnsi="Times New Roman" w:cs="Times New Roman"/>
          <w:b/>
          <w:bCs/>
          <w:sz w:val="24"/>
          <w:szCs w:val="24"/>
        </w:rPr>
      </w:pPr>
      <w:r w:rsidRPr="000F1CBA">
        <w:rPr>
          <w:rFonts w:ascii="Times New Roman" w:eastAsia="Times New Roman" w:hAnsi="Times New Roman" w:cs="Times New Roman"/>
          <w:b/>
          <w:bCs/>
          <w:sz w:val="24"/>
          <w:szCs w:val="24"/>
        </w:rPr>
        <w:t>Decision Overview</w:t>
      </w:r>
    </w:p>
    <w:p w:rsidR="000A18A3" w:rsidRPr="000F1CBA" w:rsidRDefault="00415525" w:rsidP="003556EF">
      <w:pPr>
        <w:spacing w:before="100" w:beforeAutospacing="1" w:after="100" w:afterAutospacing="1" w:line="240" w:lineRule="auto"/>
        <w:jc w:val="both"/>
        <w:rPr>
          <w:rFonts w:ascii="Times New Roman" w:hAnsi="Times New Roman" w:cs="Times New Roman"/>
          <w:sz w:val="24"/>
          <w:szCs w:val="24"/>
        </w:rPr>
      </w:pPr>
      <w:r w:rsidRPr="000F1CBA">
        <w:rPr>
          <w:rFonts w:ascii="Times New Roman" w:eastAsia="Times New Roman" w:hAnsi="Times New Roman" w:cs="Times New Roman"/>
          <w:sz w:val="24"/>
          <w:szCs w:val="24"/>
        </w:rPr>
        <w:t xml:space="preserve">In its assessment of the issue at hand, the European Court of Human Rights </w:t>
      </w:r>
      <w:r w:rsidR="00BB4182" w:rsidRPr="000F1CBA">
        <w:rPr>
          <w:rFonts w:ascii="Times New Roman" w:eastAsia="Times New Roman" w:hAnsi="Times New Roman" w:cs="Times New Roman"/>
          <w:sz w:val="24"/>
          <w:szCs w:val="24"/>
        </w:rPr>
        <w:t xml:space="preserve">had to </w:t>
      </w:r>
      <w:r w:rsidR="000A18A3" w:rsidRPr="000F1CBA">
        <w:rPr>
          <w:rFonts w:ascii="Times New Roman" w:eastAsia="Times New Roman" w:hAnsi="Times New Roman" w:cs="Times New Roman"/>
          <w:sz w:val="24"/>
          <w:szCs w:val="24"/>
        </w:rPr>
        <w:t>analyze</w:t>
      </w:r>
      <w:r w:rsidR="00BB4182" w:rsidRPr="000F1CBA">
        <w:rPr>
          <w:rFonts w:ascii="Times New Roman" w:eastAsia="Times New Roman" w:hAnsi="Times New Roman" w:cs="Times New Roman"/>
          <w:sz w:val="24"/>
          <w:szCs w:val="24"/>
        </w:rPr>
        <w:t xml:space="preserve"> the submissions of both the applicant and the Ukrainian </w:t>
      </w:r>
      <w:r w:rsidR="000A18A3" w:rsidRPr="000F1CBA">
        <w:rPr>
          <w:rFonts w:ascii="Times New Roman" w:eastAsia="Times New Roman" w:hAnsi="Times New Roman" w:cs="Times New Roman"/>
          <w:sz w:val="24"/>
          <w:szCs w:val="24"/>
        </w:rPr>
        <w:t xml:space="preserve">Government to assess whether there was an actual </w:t>
      </w:r>
      <w:r w:rsidRPr="000F1CBA">
        <w:rPr>
          <w:rFonts w:ascii="Times New Roman" w:eastAsia="Times New Roman" w:hAnsi="Times New Roman" w:cs="Times New Roman"/>
          <w:sz w:val="24"/>
          <w:szCs w:val="24"/>
        </w:rPr>
        <w:t xml:space="preserve">interference with </w:t>
      </w:r>
      <w:proofErr w:type="spellStart"/>
      <w:r w:rsidR="000A18A3" w:rsidRPr="000F1CBA">
        <w:rPr>
          <w:rFonts w:ascii="Times New Roman" w:hAnsi="Times New Roman" w:cs="Times New Roman"/>
          <w:sz w:val="24"/>
          <w:szCs w:val="24"/>
        </w:rPr>
        <w:t>Mr</w:t>
      </w:r>
      <w:proofErr w:type="spellEnd"/>
      <w:r w:rsidR="000A18A3" w:rsidRPr="000F1CBA">
        <w:rPr>
          <w:rFonts w:ascii="Times New Roman" w:hAnsi="Times New Roman" w:cs="Times New Roman"/>
          <w:sz w:val="24"/>
          <w:szCs w:val="24"/>
        </w:rPr>
        <w:t xml:space="preserve"> </w:t>
      </w:r>
      <w:proofErr w:type="spellStart"/>
      <w:r w:rsidR="000A18A3" w:rsidRPr="000F1CBA">
        <w:rPr>
          <w:rFonts w:ascii="Times New Roman" w:hAnsi="Times New Roman" w:cs="Times New Roman"/>
          <w:sz w:val="24"/>
          <w:szCs w:val="24"/>
        </w:rPr>
        <w:t>Vasyl</w:t>
      </w:r>
      <w:proofErr w:type="spellEnd"/>
      <w:r w:rsidR="000A18A3" w:rsidRPr="000F1CBA">
        <w:rPr>
          <w:rFonts w:ascii="Times New Roman" w:hAnsi="Times New Roman" w:cs="Times New Roman"/>
          <w:sz w:val="24"/>
          <w:szCs w:val="24"/>
        </w:rPr>
        <w:t xml:space="preserve"> </w:t>
      </w:r>
      <w:proofErr w:type="spellStart"/>
      <w:r w:rsidR="000A18A3" w:rsidRPr="000F1CBA">
        <w:rPr>
          <w:rFonts w:ascii="Times New Roman" w:hAnsi="Times New Roman" w:cs="Times New Roman"/>
          <w:sz w:val="24"/>
          <w:szCs w:val="24"/>
        </w:rPr>
        <w:t>Ivanovych</w:t>
      </w:r>
      <w:proofErr w:type="spellEnd"/>
      <w:r w:rsidR="000A18A3" w:rsidRPr="000F1CBA">
        <w:rPr>
          <w:rFonts w:ascii="Times New Roman" w:hAnsi="Times New Roman" w:cs="Times New Roman"/>
          <w:sz w:val="24"/>
          <w:szCs w:val="24"/>
        </w:rPr>
        <w:t xml:space="preserve"> </w:t>
      </w:r>
      <w:proofErr w:type="spellStart"/>
      <w:r w:rsidR="000A18A3" w:rsidRPr="000F1CBA">
        <w:rPr>
          <w:rFonts w:ascii="Times New Roman" w:hAnsi="Times New Roman" w:cs="Times New Roman"/>
          <w:sz w:val="24"/>
          <w:szCs w:val="24"/>
        </w:rPr>
        <w:t>Bosyy</w:t>
      </w:r>
      <w:proofErr w:type="spellEnd"/>
      <w:r w:rsidR="000A18A3" w:rsidRPr="000F1CBA">
        <w:rPr>
          <w:rFonts w:ascii="Times New Roman" w:eastAsia="Times New Roman" w:hAnsi="Times New Roman" w:cs="Times New Roman"/>
          <w:sz w:val="24"/>
          <w:szCs w:val="24"/>
        </w:rPr>
        <w:t xml:space="preserve"> </w:t>
      </w:r>
      <w:r w:rsidR="000A18A3" w:rsidRPr="000F1CBA">
        <w:rPr>
          <w:rFonts w:ascii="Times New Roman" w:hAnsi="Times New Roman" w:cs="Times New Roman"/>
          <w:sz w:val="24"/>
          <w:szCs w:val="24"/>
        </w:rPr>
        <w:t>correspondence in prison and alleged hindrance of the exercise of his right of individual application and if so</w:t>
      </w:r>
      <w:r w:rsidR="004369D8">
        <w:rPr>
          <w:rFonts w:ascii="Times New Roman" w:hAnsi="Times New Roman" w:cs="Times New Roman"/>
          <w:sz w:val="24"/>
          <w:szCs w:val="24"/>
        </w:rPr>
        <w:t>,</w:t>
      </w:r>
      <w:r w:rsidR="000A18A3" w:rsidRPr="000F1CBA">
        <w:rPr>
          <w:rFonts w:ascii="Times New Roman" w:hAnsi="Times New Roman" w:cs="Times New Roman"/>
          <w:sz w:val="24"/>
          <w:szCs w:val="24"/>
        </w:rPr>
        <w:t xml:space="preserve"> does it </w:t>
      </w:r>
      <w:r w:rsidR="000A18A3" w:rsidRPr="000F1CBA">
        <w:rPr>
          <w:rFonts w:ascii="Times New Roman" w:eastAsia="Times New Roman" w:hAnsi="Times New Roman" w:cs="Times New Roman"/>
          <w:sz w:val="24"/>
          <w:szCs w:val="24"/>
        </w:rPr>
        <w:t>serve</w:t>
      </w:r>
      <w:r w:rsidRPr="000F1CBA">
        <w:rPr>
          <w:rFonts w:ascii="Times New Roman" w:eastAsia="Times New Roman" w:hAnsi="Times New Roman" w:cs="Times New Roman"/>
          <w:sz w:val="24"/>
          <w:szCs w:val="24"/>
        </w:rPr>
        <w:t xml:space="preserve"> a legitimate aim or was ne</w:t>
      </w:r>
      <w:r w:rsidR="004369D8">
        <w:rPr>
          <w:rFonts w:ascii="Times New Roman" w:eastAsia="Times New Roman" w:hAnsi="Times New Roman" w:cs="Times New Roman"/>
          <w:sz w:val="24"/>
          <w:szCs w:val="24"/>
        </w:rPr>
        <w:t>cessary in a democratic society?</w:t>
      </w:r>
      <w:r w:rsidRPr="000F1CBA">
        <w:rPr>
          <w:rFonts w:ascii="Times New Roman" w:eastAsia="Times New Roman" w:hAnsi="Times New Roman" w:cs="Times New Roman"/>
          <w:sz w:val="24"/>
          <w:szCs w:val="24"/>
        </w:rPr>
        <w:t xml:space="preserve"> It concluded that </w:t>
      </w:r>
      <w:r w:rsidR="000A18A3" w:rsidRPr="000F1CBA">
        <w:rPr>
          <w:rFonts w:ascii="Times New Roman" w:hAnsi="Times New Roman" w:cs="Times New Roman"/>
          <w:sz w:val="24"/>
          <w:szCs w:val="24"/>
        </w:rPr>
        <w:t>domestic law had not offered an appropriate degree of protection against arbitrary interference with a prisoner’s right to respect for his correspondence and that interference with the applicant’s rights under Article 8 on account of that monitoring had not been in accordance with the law.</w:t>
      </w:r>
    </w:p>
    <w:p w:rsidR="00415525" w:rsidRPr="000F1CBA" w:rsidRDefault="00415525" w:rsidP="003556EF">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eastAsia="Times New Roman" w:hAnsi="Times New Roman" w:cs="Times New Roman"/>
          <w:sz w:val="24"/>
          <w:szCs w:val="24"/>
        </w:rPr>
        <w:lastRenderedPageBreak/>
        <w:t>The Court</w:t>
      </w:r>
      <w:r w:rsidR="005671B8" w:rsidRPr="000F1CBA">
        <w:rPr>
          <w:rFonts w:ascii="Times New Roman" w:eastAsia="Times New Roman" w:hAnsi="Times New Roman" w:cs="Times New Roman"/>
          <w:sz w:val="24"/>
          <w:szCs w:val="24"/>
        </w:rPr>
        <w:t xml:space="preserve"> noted that </w:t>
      </w:r>
      <w:r w:rsidR="0032593B" w:rsidRPr="000F1CBA">
        <w:rPr>
          <w:rFonts w:ascii="Times New Roman" w:hAnsi="Times New Roman" w:cs="Times New Roman"/>
          <w:sz w:val="24"/>
          <w:szCs w:val="24"/>
        </w:rPr>
        <w:t xml:space="preserve">the </w:t>
      </w:r>
      <w:r w:rsidR="005671B8" w:rsidRPr="000F1CBA">
        <w:rPr>
          <w:rFonts w:ascii="Times New Roman" w:hAnsi="Times New Roman" w:cs="Times New Roman"/>
          <w:sz w:val="24"/>
          <w:szCs w:val="24"/>
        </w:rPr>
        <w:t>applicant failed to provide any details or any prima facie</w:t>
      </w:r>
      <w:r w:rsidR="0032593B" w:rsidRPr="000F1CBA">
        <w:rPr>
          <w:rFonts w:ascii="Times New Roman" w:hAnsi="Times New Roman" w:cs="Times New Roman"/>
          <w:sz w:val="24"/>
          <w:szCs w:val="24"/>
        </w:rPr>
        <w:t xml:space="preserve"> </w:t>
      </w:r>
      <w:r w:rsidR="005671B8" w:rsidRPr="000F1CBA">
        <w:rPr>
          <w:rFonts w:ascii="Times New Roman" w:hAnsi="Times New Roman" w:cs="Times New Roman"/>
          <w:sz w:val="24"/>
          <w:szCs w:val="24"/>
        </w:rPr>
        <w:t>evidence to substantiate his complaints</w:t>
      </w:r>
      <w:r w:rsidR="00B828A7" w:rsidRPr="000F1CBA">
        <w:rPr>
          <w:rFonts w:ascii="Times New Roman" w:hAnsi="Times New Roman" w:cs="Times New Roman"/>
          <w:sz w:val="24"/>
          <w:szCs w:val="24"/>
        </w:rPr>
        <w:t>,</w:t>
      </w:r>
      <w:r w:rsidR="005671B8" w:rsidRPr="000F1CBA">
        <w:rPr>
          <w:rFonts w:ascii="Times New Roman" w:hAnsi="Times New Roman" w:cs="Times New Roman"/>
          <w:sz w:val="24"/>
          <w:szCs w:val="24"/>
        </w:rPr>
        <w:t xml:space="preserve"> see </w:t>
      </w:r>
      <w:r w:rsidR="005671B8" w:rsidRPr="000F1CBA">
        <w:rPr>
          <w:rFonts w:ascii="Times New Roman" w:hAnsi="Times New Roman" w:cs="Times New Roman"/>
          <w:i/>
          <w:iCs/>
          <w:sz w:val="24"/>
          <w:szCs w:val="24"/>
        </w:rPr>
        <w:t>D.G. v. Poland</w:t>
      </w:r>
      <w:r w:rsidR="005671B8" w:rsidRPr="000F1CBA">
        <w:rPr>
          <w:rFonts w:ascii="Times New Roman" w:hAnsi="Times New Roman" w:cs="Times New Roman"/>
          <w:sz w:val="24"/>
          <w:szCs w:val="24"/>
        </w:rPr>
        <w:t>. His allegations are sweeping and unspecific.</w:t>
      </w:r>
      <w:r w:rsidRPr="000F1CBA">
        <w:rPr>
          <w:rFonts w:ascii="Times New Roman" w:eastAsia="Times New Roman" w:hAnsi="Times New Roman" w:cs="Times New Roman"/>
          <w:sz w:val="24"/>
          <w:szCs w:val="24"/>
        </w:rPr>
        <w:t xml:space="preserve"> </w:t>
      </w:r>
      <w:r w:rsidR="005671B8" w:rsidRPr="000F1CBA">
        <w:rPr>
          <w:rFonts w:ascii="Times New Roman" w:eastAsia="Times New Roman" w:hAnsi="Times New Roman" w:cs="Times New Roman"/>
          <w:sz w:val="24"/>
          <w:szCs w:val="24"/>
        </w:rPr>
        <w:t xml:space="preserve">It </w:t>
      </w:r>
      <w:r w:rsidRPr="000F1CBA">
        <w:rPr>
          <w:rFonts w:ascii="Times New Roman" w:eastAsia="Times New Roman" w:hAnsi="Times New Roman" w:cs="Times New Roman"/>
          <w:sz w:val="24"/>
          <w:szCs w:val="24"/>
        </w:rPr>
        <w:t xml:space="preserve">reiterated that as per the precedent in </w:t>
      </w:r>
      <w:proofErr w:type="spellStart"/>
      <w:r w:rsidR="005671B8" w:rsidRPr="000F1CBA">
        <w:rPr>
          <w:rFonts w:ascii="Times New Roman" w:hAnsi="Times New Roman" w:cs="Times New Roman"/>
          <w:i/>
          <w:iCs/>
          <w:sz w:val="24"/>
          <w:szCs w:val="24"/>
        </w:rPr>
        <w:t>Diri</w:t>
      </w:r>
      <w:proofErr w:type="spellEnd"/>
      <w:r w:rsidR="005671B8" w:rsidRPr="000F1CBA">
        <w:rPr>
          <w:rFonts w:ascii="Times New Roman" w:hAnsi="Times New Roman" w:cs="Times New Roman"/>
          <w:i/>
          <w:iCs/>
          <w:sz w:val="24"/>
          <w:szCs w:val="24"/>
        </w:rPr>
        <w:t xml:space="preserve"> v. Turkey </w:t>
      </w:r>
      <w:r w:rsidR="005671B8" w:rsidRPr="000F1CBA">
        <w:rPr>
          <w:rFonts w:ascii="Times New Roman" w:hAnsi="Times New Roman" w:cs="Times New Roman"/>
          <w:sz w:val="24"/>
          <w:szCs w:val="24"/>
        </w:rPr>
        <w:t>and</w:t>
      </w:r>
      <w:r w:rsidR="0032593B" w:rsidRPr="000F1CBA">
        <w:rPr>
          <w:rFonts w:ascii="Times New Roman" w:hAnsi="Times New Roman" w:cs="Times New Roman"/>
          <w:sz w:val="24"/>
          <w:szCs w:val="24"/>
        </w:rPr>
        <w:t xml:space="preserve"> </w:t>
      </w:r>
      <w:proofErr w:type="spellStart"/>
      <w:r w:rsidR="005671B8" w:rsidRPr="000F1CBA">
        <w:rPr>
          <w:rFonts w:ascii="Times New Roman" w:hAnsi="Times New Roman" w:cs="Times New Roman"/>
          <w:i/>
          <w:iCs/>
          <w:sz w:val="24"/>
          <w:szCs w:val="24"/>
        </w:rPr>
        <w:t>Dolenec</w:t>
      </w:r>
      <w:proofErr w:type="spellEnd"/>
      <w:r w:rsidR="005671B8" w:rsidRPr="000F1CBA">
        <w:rPr>
          <w:rFonts w:ascii="Times New Roman" w:hAnsi="Times New Roman" w:cs="Times New Roman"/>
          <w:i/>
          <w:iCs/>
          <w:sz w:val="24"/>
          <w:szCs w:val="24"/>
        </w:rPr>
        <w:t xml:space="preserve"> v. Croatia</w:t>
      </w:r>
      <w:r w:rsidRPr="000F1CBA">
        <w:rPr>
          <w:rFonts w:ascii="Times New Roman" w:eastAsia="Times New Roman" w:hAnsi="Times New Roman" w:cs="Times New Roman"/>
          <w:sz w:val="24"/>
          <w:szCs w:val="24"/>
        </w:rPr>
        <w:t xml:space="preserve">, </w:t>
      </w:r>
      <w:r w:rsidR="00DE41FB" w:rsidRPr="000F1CBA">
        <w:rPr>
          <w:rFonts w:ascii="Times New Roman" w:hAnsi="Times New Roman" w:cs="Times New Roman"/>
          <w:sz w:val="24"/>
          <w:szCs w:val="24"/>
        </w:rPr>
        <w:t xml:space="preserve">there is no evidence of any injuries or even established instances of the use of force against the applicant or </w:t>
      </w:r>
      <w:proofErr w:type="spellStart"/>
      <w:r w:rsidR="00DE41FB" w:rsidRPr="000F1CBA">
        <w:rPr>
          <w:rFonts w:ascii="Times New Roman" w:hAnsi="Times New Roman" w:cs="Times New Roman"/>
          <w:sz w:val="24"/>
          <w:szCs w:val="24"/>
        </w:rPr>
        <w:t>prisonwide</w:t>
      </w:r>
      <w:proofErr w:type="spellEnd"/>
      <w:r w:rsidR="00DE41FB" w:rsidRPr="000F1CBA">
        <w:rPr>
          <w:rFonts w:ascii="Times New Roman" w:hAnsi="Times New Roman" w:cs="Times New Roman"/>
          <w:sz w:val="24"/>
          <w:szCs w:val="24"/>
        </w:rPr>
        <w:t xml:space="preserve"> operations by which he could have been affected. See also </w:t>
      </w:r>
      <w:proofErr w:type="spellStart"/>
      <w:r w:rsidR="00DE41FB" w:rsidRPr="000F1CBA">
        <w:rPr>
          <w:rFonts w:ascii="Times New Roman" w:hAnsi="Times New Roman" w:cs="Times New Roman"/>
          <w:i/>
          <w:iCs/>
          <w:sz w:val="24"/>
          <w:szCs w:val="24"/>
        </w:rPr>
        <w:t>Karabet</w:t>
      </w:r>
      <w:proofErr w:type="spellEnd"/>
      <w:r w:rsidR="00DE41FB" w:rsidRPr="000F1CBA">
        <w:rPr>
          <w:rFonts w:ascii="Times New Roman" w:hAnsi="Times New Roman" w:cs="Times New Roman"/>
          <w:i/>
          <w:iCs/>
          <w:sz w:val="24"/>
          <w:szCs w:val="24"/>
        </w:rPr>
        <w:t xml:space="preserve"> and Others v. Ukraine. </w:t>
      </w:r>
      <w:r w:rsidR="00DE41FB" w:rsidRPr="000F1CBA">
        <w:rPr>
          <w:rFonts w:ascii="Times New Roman" w:eastAsia="Times New Roman" w:hAnsi="Times New Roman" w:cs="Times New Roman"/>
          <w:sz w:val="24"/>
          <w:szCs w:val="24"/>
        </w:rPr>
        <w:t>It added that</w:t>
      </w:r>
      <w:r w:rsidRPr="000F1CBA">
        <w:rPr>
          <w:rFonts w:ascii="Times New Roman" w:eastAsia="Times New Roman" w:hAnsi="Times New Roman" w:cs="Times New Roman"/>
          <w:sz w:val="24"/>
          <w:szCs w:val="24"/>
        </w:rPr>
        <w:t xml:space="preserve"> </w:t>
      </w:r>
      <w:r w:rsidR="00DE41FB" w:rsidRPr="000F1CBA">
        <w:rPr>
          <w:rFonts w:ascii="Times New Roman" w:hAnsi="Times New Roman" w:cs="Times New Roman"/>
          <w:sz w:val="24"/>
          <w:szCs w:val="24"/>
        </w:rPr>
        <w:t xml:space="preserve">The applicant did not submit that he had had any injuries which he had </w:t>
      </w:r>
      <w:r w:rsidR="000A4E18" w:rsidRPr="000F1CBA">
        <w:rPr>
          <w:rFonts w:ascii="Times New Roman" w:hAnsi="Times New Roman" w:cs="Times New Roman"/>
          <w:sz w:val="24"/>
          <w:szCs w:val="24"/>
        </w:rPr>
        <w:t xml:space="preserve">    </w:t>
      </w:r>
      <w:r w:rsidR="00DE41FB" w:rsidRPr="000F1CBA">
        <w:rPr>
          <w:rFonts w:ascii="Times New Roman" w:hAnsi="Times New Roman" w:cs="Times New Roman"/>
          <w:sz w:val="24"/>
          <w:szCs w:val="24"/>
        </w:rPr>
        <w:t xml:space="preserve">brought to the authorities’ attention, but which had gone undocumented despite his efforts, (see </w:t>
      </w:r>
      <w:proofErr w:type="spellStart"/>
      <w:r w:rsidR="00DE41FB" w:rsidRPr="000F1CBA">
        <w:rPr>
          <w:rFonts w:ascii="Times New Roman" w:hAnsi="Times New Roman" w:cs="Times New Roman"/>
          <w:i/>
          <w:iCs/>
          <w:sz w:val="24"/>
          <w:szCs w:val="24"/>
        </w:rPr>
        <w:t>Sarac</w:t>
      </w:r>
      <w:proofErr w:type="spellEnd"/>
      <w:r w:rsidR="00DE41FB" w:rsidRPr="000F1CBA">
        <w:rPr>
          <w:rFonts w:ascii="Times New Roman" w:hAnsi="Times New Roman" w:cs="Times New Roman"/>
          <w:i/>
          <w:iCs/>
          <w:sz w:val="24"/>
          <w:szCs w:val="24"/>
        </w:rPr>
        <w:t xml:space="preserve"> v. Turkey)</w:t>
      </w:r>
      <w:r w:rsidR="00DE41FB" w:rsidRPr="000F1CBA">
        <w:rPr>
          <w:rFonts w:ascii="Times New Roman" w:hAnsi="Times New Roman" w:cs="Times New Roman"/>
          <w:sz w:val="24"/>
          <w:szCs w:val="24"/>
        </w:rPr>
        <w:t xml:space="preserve"> nor did he explain why he was not in a position to take such steps as it was in the case of </w:t>
      </w:r>
      <w:proofErr w:type="spellStart"/>
      <w:r w:rsidR="00DE41FB" w:rsidRPr="000F1CBA">
        <w:rPr>
          <w:rFonts w:ascii="Times New Roman" w:hAnsi="Times New Roman" w:cs="Times New Roman"/>
          <w:i/>
          <w:iCs/>
          <w:sz w:val="24"/>
          <w:szCs w:val="24"/>
        </w:rPr>
        <w:t>Balogh</w:t>
      </w:r>
      <w:proofErr w:type="spellEnd"/>
      <w:r w:rsidR="00DE41FB" w:rsidRPr="000F1CBA">
        <w:rPr>
          <w:rFonts w:ascii="Times New Roman" w:hAnsi="Times New Roman" w:cs="Times New Roman"/>
          <w:i/>
          <w:iCs/>
          <w:sz w:val="24"/>
          <w:szCs w:val="24"/>
        </w:rPr>
        <w:t xml:space="preserve"> v. Hungary</w:t>
      </w:r>
      <w:r w:rsidR="00DE41FB" w:rsidRPr="000F1CBA">
        <w:rPr>
          <w:rFonts w:ascii="Times New Roman" w:hAnsi="Times New Roman" w:cs="Times New Roman"/>
          <w:sz w:val="24"/>
          <w:szCs w:val="24"/>
        </w:rPr>
        <w:t>, where the applicant provided detailed reasons for his failure to undergo a medical</w:t>
      </w:r>
      <w:r w:rsidR="00B828A7" w:rsidRPr="000F1CBA">
        <w:rPr>
          <w:rFonts w:ascii="Times New Roman" w:hAnsi="Times New Roman" w:cs="Times New Roman"/>
          <w:sz w:val="24"/>
          <w:szCs w:val="24"/>
        </w:rPr>
        <w:t xml:space="preserve"> examination</w:t>
      </w:r>
      <w:r w:rsidR="00DE41FB" w:rsidRPr="000F1CBA">
        <w:rPr>
          <w:rFonts w:ascii="Times New Roman" w:hAnsi="Times New Roman" w:cs="Times New Roman"/>
          <w:sz w:val="24"/>
          <w:szCs w:val="24"/>
        </w:rPr>
        <w:t>.</w:t>
      </w:r>
    </w:p>
    <w:p w:rsidR="00752844" w:rsidRPr="000F1CBA" w:rsidRDefault="00752844" w:rsidP="003556EF">
      <w:pPr>
        <w:autoSpaceDE w:val="0"/>
        <w:autoSpaceDN w:val="0"/>
        <w:adjustRightInd w:val="0"/>
        <w:spacing w:after="0" w:line="240" w:lineRule="auto"/>
        <w:jc w:val="both"/>
        <w:rPr>
          <w:rFonts w:ascii="Times New Roman" w:eastAsia="Times New Roman" w:hAnsi="Times New Roman" w:cs="Times New Roman"/>
          <w:sz w:val="24"/>
          <w:szCs w:val="24"/>
        </w:rPr>
      </w:pPr>
    </w:p>
    <w:p w:rsidR="00F0688A" w:rsidRPr="000F1CBA" w:rsidRDefault="00F0688A" w:rsidP="003556EF">
      <w:pPr>
        <w:autoSpaceDE w:val="0"/>
        <w:autoSpaceDN w:val="0"/>
        <w:adjustRightInd w:val="0"/>
        <w:spacing w:after="0" w:line="240" w:lineRule="auto"/>
        <w:jc w:val="both"/>
        <w:rPr>
          <w:rFonts w:ascii="Times New Roman" w:eastAsia="Times New Roman" w:hAnsi="Times New Roman" w:cs="Times New Roman"/>
          <w:sz w:val="24"/>
          <w:szCs w:val="24"/>
        </w:rPr>
      </w:pPr>
      <w:r w:rsidRPr="000F1CBA">
        <w:rPr>
          <w:rFonts w:ascii="Times New Roman" w:hAnsi="Times New Roman" w:cs="Times New Roman"/>
          <w:sz w:val="24"/>
          <w:szCs w:val="24"/>
        </w:rPr>
        <w:t xml:space="preserve">The Court has already found in </w:t>
      </w:r>
      <w:proofErr w:type="spellStart"/>
      <w:r w:rsidRPr="000F1CBA">
        <w:rPr>
          <w:rFonts w:ascii="Times New Roman" w:hAnsi="Times New Roman" w:cs="Times New Roman"/>
          <w:i/>
          <w:iCs/>
          <w:sz w:val="24"/>
          <w:szCs w:val="24"/>
        </w:rPr>
        <w:t>Belyaev</w:t>
      </w:r>
      <w:proofErr w:type="spellEnd"/>
      <w:r w:rsidRPr="000F1CBA">
        <w:rPr>
          <w:rFonts w:ascii="Times New Roman" w:hAnsi="Times New Roman" w:cs="Times New Roman"/>
          <w:i/>
          <w:iCs/>
          <w:sz w:val="24"/>
          <w:szCs w:val="24"/>
        </w:rPr>
        <w:t xml:space="preserve"> and </w:t>
      </w:r>
      <w:proofErr w:type="spellStart"/>
      <w:r w:rsidRPr="000F1CBA">
        <w:rPr>
          <w:rFonts w:ascii="Times New Roman" w:hAnsi="Times New Roman" w:cs="Times New Roman"/>
          <w:i/>
          <w:iCs/>
          <w:sz w:val="24"/>
          <w:szCs w:val="24"/>
        </w:rPr>
        <w:t>Digtyar</w:t>
      </w:r>
      <w:proofErr w:type="spellEnd"/>
      <w:r w:rsidRPr="000F1CBA">
        <w:rPr>
          <w:rFonts w:ascii="Times New Roman" w:hAnsi="Times New Roman" w:cs="Times New Roman"/>
          <w:i/>
          <w:iCs/>
          <w:sz w:val="24"/>
          <w:szCs w:val="24"/>
        </w:rPr>
        <w:t xml:space="preserve"> v. Ukraine</w:t>
      </w:r>
      <w:r w:rsidR="00B828A7" w:rsidRPr="000F1CBA">
        <w:rPr>
          <w:rFonts w:ascii="Times New Roman" w:hAnsi="Times New Roman" w:cs="Times New Roman"/>
          <w:i/>
          <w:iCs/>
          <w:sz w:val="24"/>
          <w:szCs w:val="24"/>
        </w:rPr>
        <w:t xml:space="preserve"> </w:t>
      </w:r>
      <w:r w:rsidRPr="000F1CBA">
        <w:rPr>
          <w:rFonts w:ascii="Times New Roman" w:hAnsi="Times New Roman" w:cs="Times New Roman"/>
          <w:sz w:val="24"/>
          <w:szCs w:val="24"/>
        </w:rPr>
        <w:t>that, under the law in</w:t>
      </w:r>
      <w:r w:rsidR="00B828A7" w:rsidRPr="000F1CBA">
        <w:rPr>
          <w:rFonts w:ascii="Times New Roman" w:hAnsi="Times New Roman" w:cs="Times New Roman"/>
          <w:sz w:val="24"/>
          <w:szCs w:val="24"/>
        </w:rPr>
        <w:t xml:space="preserve"> </w:t>
      </w:r>
      <w:r w:rsidRPr="000F1CBA">
        <w:rPr>
          <w:rFonts w:ascii="Times New Roman" w:hAnsi="Times New Roman" w:cs="Times New Roman"/>
          <w:sz w:val="24"/>
          <w:szCs w:val="24"/>
        </w:rPr>
        <w:t>force prior to 21 December 2005, prison officers monitored all letters sent by prisoners with the exception of letters to the Parliamentary Commissioner for Human Rights or prosecutors. The relevant legislation did not draw any further distinctions between the different categories of persons with whom detainees could correspond, such as, for example, law-enforcement and other domestic authorities, Convention and other</w:t>
      </w:r>
      <w:r w:rsidR="00B828A7" w:rsidRPr="000F1CBA">
        <w:rPr>
          <w:rFonts w:ascii="Times New Roman" w:hAnsi="Times New Roman" w:cs="Times New Roman"/>
          <w:sz w:val="24"/>
          <w:szCs w:val="24"/>
        </w:rPr>
        <w:t xml:space="preserve"> </w:t>
      </w:r>
      <w:r w:rsidRPr="000F1CBA">
        <w:rPr>
          <w:rFonts w:ascii="Times New Roman" w:hAnsi="Times New Roman" w:cs="Times New Roman"/>
          <w:sz w:val="24"/>
          <w:szCs w:val="24"/>
        </w:rPr>
        <w:t>international bodies, relatives, legal counsel, and so on. It did not elaborate on the manner in which the screening measures would be exercised. In particular, it did not provide for any participation by or involvement of prisoners at any stage of the monitoring process. Nor did it specify whether the detainee was entitled to be informed of any alterations to the contents of his or her outgoing correspondence. Moreover, the monitoring was automatic, without any time-limits and did not require any reasoned</w:t>
      </w:r>
      <w:r w:rsidR="00B828A7" w:rsidRPr="000F1CBA">
        <w:rPr>
          <w:rFonts w:ascii="Times New Roman" w:hAnsi="Times New Roman" w:cs="Times New Roman"/>
          <w:sz w:val="24"/>
          <w:szCs w:val="24"/>
        </w:rPr>
        <w:t xml:space="preserve"> </w:t>
      </w:r>
      <w:r w:rsidRPr="000F1CBA">
        <w:rPr>
          <w:rFonts w:ascii="Times New Roman" w:hAnsi="Times New Roman" w:cs="Times New Roman"/>
          <w:sz w:val="24"/>
          <w:szCs w:val="24"/>
        </w:rPr>
        <w:t>decision giving grounds for the screening measures and/or setting a time frame for it. Lastly, there was no specific remedy enabling the detainee to contest the measure and obtain adequate redress. On account of those characteristics of the applicable domestic legal regime the Court concluded that the applicable domestic law had not offered an appropriate degree of protection against arbitrary interference with a prisoner’s right to respect for his correspondence and that interference with the applicant’s rights under</w:t>
      </w:r>
      <w:r w:rsidR="00B828A7" w:rsidRPr="000F1CBA">
        <w:rPr>
          <w:rFonts w:ascii="Times New Roman" w:hAnsi="Times New Roman" w:cs="Times New Roman"/>
          <w:sz w:val="24"/>
          <w:szCs w:val="24"/>
        </w:rPr>
        <w:t xml:space="preserve"> </w:t>
      </w:r>
      <w:r w:rsidRPr="000F1CBA">
        <w:rPr>
          <w:rFonts w:ascii="Times New Roman" w:hAnsi="Times New Roman" w:cs="Times New Roman"/>
          <w:sz w:val="24"/>
          <w:szCs w:val="24"/>
        </w:rPr>
        <w:t>Article 8 on account of that monitoring had not been “</w:t>
      </w:r>
      <w:r w:rsidRPr="000B53DC">
        <w:rPr>
          <w:rFonts w:ascii="Times New Roman" w:hAnsi="Times New Roman" w:cs="Times New Roman"/>
          <w:i/>
          <w:sz w:val="24"/>
          <w:szCs w:val="24"/>
        </w:rPr>
        <w:t>in accordance with the law</w:t>
      </w:r>
      <w:r w:rsidRPr="000F1CBA">
        <w:rPr>
          <w:rFonts w:ascii="Times New Roman" w:hAnsi="Times New Roman" w:cs="Times New Roman"/>
          <w:sz w:val="24"/>
          <w:szCs w:val="24"/>
        </w:rPr>
        <w:t>”</w:t>
      </w:r>
      <w:r w:rsidRPr="000F1CBA">
        <w:rPr>
          <w:rFonts w:ascii="Times New Roman" w:eastAsia="Times New Roman" w:hAnsi="Times New Roman" w:cs="Times New Roman"/>
          <w:sz w:val="24"/>
          <w:szCs w:val="24"/>
        </w:rPr>
        <w:t xml:space="preserve"> </w:t>
      </w:r>
    </w:p>
    <w:p w:rsidR="00F0688A" w:rsidRPr="000F1CBA" w:rsidRDefault="00F0688A" w:rsidP="003556EF">
      <w:pPr>
        <w:autoSpaceDE w:val="0"/>
        <w:autoSpaceDN w:val="0"/>
        <w:adjustRightInd w:val="0"/>
        <w:spacing w:after="0" w:line="240" w:lineRule="auto"/>
        <w:jc w:val="both"/>
        <w:rPr>
          <w:rFonts w:ascii="Times New Roman" w:hAnsi="Times New Roman" w:cs="Times New Roman"/>
          <w:sz w:val="24"/>
          <w:szCs w:val="24"/>
        </w:rPr>
      </w:pPr>
    </w:p>
    <w:p w:rsidR="00F0688A" w:rsidRPr="000F1CBA" w:rsidRDefault="00B828A7" w:rsidP="003556EF">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 xml:space="preserve">The Court noted that the </w:t>
      </w:r>
      <w:r w:rsidR="00F0688A" w:rsidRPr="000F1CBA">
        <w:rPr>
          <w:rFonts w:ascii="Times New Roman" w:hAnsi="Times New Roman" w:cs="Times New Roman"/>
          <w:sz w:val="24"/>
          <w:szCs w:val="24"/>
        </w:rPr>
        <w:t xml:space="preserve">Law of 1 December 2005 introduced an amendment to the legal regime found to be defective in </w:t>
      </w:r>
      <w:proofErr w:type="spellStart"/>
      <w:r w:rsidR="00F0688A" w:rsidRPr="000F1CBA">
        <w:rPr>
          <w:rFonts w:ascii="Times New Roman" w:hAnsi="Times New Roman" w:cs="Times New Roman"/>
          <w:i/>
          <w:iCs/>
          <w:sz w:val="24"/>
          <w:szCs w:val="24"/>
        </w:rPr>
        <w:t>Belyaev</w:t>
      </w:r>
      <w:proofErr w:type="spellEnd"/>
      <w:r w:rsidR="00F0688A" w:rsidRPr="000F1CBA">
        <w:rPr>
          <w:rFonts w:ascii="Times New Roman" w:hAnsi="Times New Roman" w:cs="Times New Roman"/>
          <w:i/>
          <w:iCs/>
          <w:sz w:val="24"/>
          <w:szCs w:val="24"/>
        </w:rPr>
        <w:t xml:space="preserve"> and </w:t>
      </w:r>
      <w:proofErr w:type="spellStart"/>
      <w:r w:rsidR="00F0688A" w:rsidRPr="000F1CBA">
        <w:rPr>
          <w:rFonts w:ascii="Times New Roman" w:hAnsi="Times New Roman" w:cs="Times New Roman"/>
          <w:i/>
          <w:iCs/>
          <w:sz w:val="24"/>
          <w:szCs w:val="24"/>
        </w:rPr>
        <w:t>Digtyar</w:t>
      </w:r>
      <w:proofErr w:type="spellEnd"/>
      <w:r w:rsidR="00F0688A" w:rsidRPr="000F1CBA">
        <w:rPr>
          <w:rFonts w:ascii="Times New Roman" w:hAnsi="Times New Roman" w:cs="Times New Roman"/>
          <w:i/>
          <w:iCs/>
          <w:sz w:val="24"/>
          <w:szCs w:val="24"/>
        </w:rPr>
        <w:t xml:space="preserve"> </w:t>
      </w:r>
      <w:r w:rsidR="00F0688A" w:rsidRPr="000F1CBA">
        <w:rPr>
          <w:rFonts w:ascii="Times New Roman" w:hAnsi="Times New Roman" w:cs="Times New Roman"/>
          <w:sz w:val="24"/>
          <w:szCs w:val="24"/>
        </w:rPr>
        <w:t xml:space="preserve">by exempting correspondence addressed to the Court and other international institutions from monitoring. That was the regime which applied to the applicant’s correspondence during the bulk of his detention. Further exemptions were added, which became effective on 9 February 2010. Subsequent amendments introduced in 2014 are of no relevance to the case. To the extent that the applicant complained that his correspondence addressed to the Court, the Parliamentary Commissioner for Human Rights and the prosecutors (prior to 9 February 2010) or received from them (from 9 February 2010 onwards) had been monitored in breach of the domestic law prohibiting such monitoring, there is no material before the Court which would corroborate his allegations. It appears that the applicant did not initiate any proceedings in that regard before the domestic courts, as was his right. </w:t>
      </w:r>
      <w:r w:rsidRPr="000F1CBA">
        <w:rPr>
          <w:rFonts w:ascii="Times New Roman" w:hAnsi="Times New Roman" w:cs="Times New Roman"/>
          <w:sz w:val="24"/>
          <w:szCs w:val="24"/>
        </w:rPr>
        <w:t xml:space="preserve">See </w:t>
      </w:r>
      <w:proofErr w:type="spellStart"/>
      <w:r w:rsidR="00F0688A" w:rsidRPr="000F1CBA">
        <w:rPr>
          <w:rFonts w:ascii="Times New Roman" w:hAnsi="Times New Roman" w:cs="Times New Roman"/>
          <w:i/>
          <w:iCs/>
          <w:sz w:val="24"/>
          <w:szCs w:val="24"/>
        </w:rPr>
        <w:t>Chaykovskiy</w:t>
      </w:r>
      <w:proofErr w:type="spellEnd"/>
      <w:r w:rsidR="00F0688A" w:rsidRPr="000F1CBA">
        <w:rPr>
          <w:rFonts w:ascii="Times New Roman" w:hAnsi="Times New Roman" w:cs="Times New Roman"/>
          <w:i/>
          <w:iCs/>
          <w:sz w:val="24"/>
          <w:szCs w:val="24"/>
        </w:rPr>
        <w:t xml:space="preserve"> v. Ukraine</w:t>
      </w:r>
      <w:r w:rsidR="00F0688A" w:rsidRPr="000F1CBA">
        <w:rPr>
          <w:rFonts w:ascii="Times New Roman" w:hAnsi="Times New Roman" w:cs="Times New Roman"/>
          <w:sz w:val="24"/>
          <w:szCs w:val="24"/>
        </w:rPr>
        <w:t>. The Court finds, therefore, that this part of the application should be rejected as manifestly ill-founded in accordance with Article 35 §§ 3 (a) and 4 of the Convention.</w:t>
      </w:r>
    </w:p>
    <w:p w:rsidR="00F0688A" w:rsidRPr="000F1CBA" w:rsidRDefault="00F0688A" w:rsidP="003556EF">
      <w:pPr>
        <w:autoSpaceDE w:val="0"/>
        <w:autoSpaceDN w:val="0"/>
        <w:adjustRightInd w:val="0"/>
        <w:spacing w:after="0" w:line="240" w:lineRule="auto"/>
        <w:jc w:val="both"/>
        <w:rPr>
          <w:rFonts w:ascii="Times New Roman" w:hAnsi="Times New Roman" w:cs="Times New Roman"/>
          <w:sz w:val="24"/>
          <w:szCs w:val="24"/>
        </w:rPr>
      </w:pPr>
    </w:p>
    <w:p w:rsidR="003E29D5" w:rsidRPr="009B1D05" w:rsidRDefault="00764EB6" w:rsidP="003556E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The Court observ</w:t>
      </w:r>
      <w:r w:rsidR="000B53DC">
        <w:rPr>
          <w:rFonts w:ascii="Times New Roman" w:hAnsi="Times New Roman" w:cs="Times New Roman"/>
          <w:sz w:val="24"/>
          <w:szCs w:val="24"/>
        </w:rPr>
        <w:t>ed</w:t>
      </w:r>
      <w:r w:rsidR="00F0688A" w:rsidRPr="000F1CBA">
        <w:rPr>
          <w:rFonts w:ascii="Times New Roman" w:hAnsi="Times New Roman" w:cs="Times New Roman"/>
          <w:sz w:val="24"/>
          <w:szCs w:val="24"/>
        </w:rPr>
        <w:t xml:space="preserve"> that, although the parties disagreed as to whether</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some of the applicant’s letters had been withheld by the prison authorities,</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the Government did not specifically contest the applicant’s submission that</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 xml:space="preserve">his correspondence with non-exempt entities had been routinely </w:t>
      </w:r>
      <w:r w:rsidR="00F0688A" w:rsidRPr="000F1CBA">
        <w:rPr>
          <w:rFonts w:ascii="Times New Roman" w:hAnsi="Times New Roman" w:cs="Times New Roman"/>
          <w:sz w:val="24"/>
          <w:szCs w:val="24"/>
        </w:rPr>
        <w:lastRenderedPageBreak/>
        <w:t>monitored</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by the prison administration, pursuant to the applicable domestic law (see</w:t>
      </w:r>
      <w:r w:rsidR="003E29D5" w:rsidRPr="000F1CBA">
        <w:rPr>
          <w:rFonts w:ascii="Times New Roman" w:hAnsi="Times New Roman" w:cs="Times New Roman"/>
          <w:sz w:val="24"/>
          <w:szCs w:val="24"/>
        </w:rPr>
        <w:t xml:space="preserve"> </w:t>
      </w:r>
      <w:proofErr w:type="spellStart"/>
      <w:r w:rsidR="00F0688A" w:rsidRPr="000F1CBA">
        <w:rPr>
          <w:rFonts w:ascii="Times New Roman" w:hAnsi="Times New Roman" w:cs="Times New Roman"/>
          <w:i/>
          <w:iCs/>
          <w:sz w:val="24"/>
          <w:szCs w:val="24"/>
        </w:rPr>
        <w:t>Vintman</w:t>
      </w:r>
      <w:proofErr w:type="spellEnd"/>
      <w:r w:rsidR="00F0688A" w:rsidRPr="000F1CBA">
        <w:rPr>
          <w:rFonts w:ascii="Times New Roman" w:hAnsi="Times New Roman" w:cs="Times New Roman"/>
          <w:i/>
          <w:iCs/>
          <w:sz w:val="24"/>
          <w:szCs w:val="24"/>
        </w:rPr>
        <w:t xml:space="preserve"> v. Ukraine</w:t>
      </w:r>
      <w:r w:rsidR="003E29D5" w:rsidRPr="000F1CBA">
        <w:rPr>
          <w:rFonts w:ascii="Times New Roman" w:hAnsi="Times New Roman" w:cs="Times New Roman"/>
          <w:sz w:val="24"/>
          <w:szCs w:val="24"/>
        </w:rPr>
        <w:t>.</w:t>
      </w:r>
      <w:r w:rsidR="00F0688A" w:rsidRPr="000F1CBA">
        <w:rPr>
          <w:rFonts w:ascii="Times New Roman" w:hAnsi="Times New Roman" w:cs="Times New Roman"/>
          <w:sz w:val="24"/>
          <w:szCs w:val="24"/>
        </w:rPr>
        <w:t xml:space="preserve"> Indeed, the</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prison authorities’ cover letter submitted by the Government, which</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contains a summary of the content of the applicant’s letter, illustrates that</w:t>
      </w:r>
      <w:r w:rsidR="003E29D5" w:rsidRPr="000F1CBA">
        <w:rPr>
          <w:rFonts w:ascii="Times New Roman" w:hAnsi="Times New Roman" w:cs="Times New Roman"/>
          <w:sz w:val="24"/>
          <w:szCs w:val="24"/>
        </w:rPr>
        <w:t xml:space="preserve"> </w:t>
      </w:r>
      <w:r w:rsidR="00F0688A" w:rsidRPr="000F1CBA">
        <w:rPr>
          <w:rFonts w:ascii="Times New Roman" w:hAnsi="Times New Roman" w:cs="Times New Roman"/>
          <w:sz w:val="24"/>
          <w:szCs w:val="24"/>
        </w:rPr>
        <w:t>the authorities did in fact monitor his letters to non-exempt addresses, as</w:t>
      </w:r>
      <w:r w:rsidR="003E29D5" w:rsidRPr="000F1CBA">
        <w:rPr>
          <w:rFonts w:ascii="Times New Roman" w:hAnsi="Times New Roman" w:cs="Times New Roman"/>
          <w:sz w:val="24"/>
          <w:szCs w:val="24"/>
        </w:rPr>
        <w:t xml:space="preserve"> provided for by domestic law, </w:t>
      </w:r>
      <w:r w:rsidR="00F0688A" w:rsidRPr="000F1CBA">
        <w:rPr>
          <w:rFonts w:ascii="Times New Roman" w:hAnsi="Times New Roman" w:cs="Times New Roman"/>
          <w:sz w:val="24"/>
          <w:szCs w:val="24"/>
        </w:rPr>
        <w:t>se</w:t>
      </w:r>
      <w:r w:rsidR="003E29D5" w:rsidRPr="000F1CBA">
        <w:rPr>
          <w:rFonts w:ascii="Times New Roman" w:hAnsi="Times New Roman" w:cs="Times New Roman"/>
          <w:sz w:val="24"/>
          <w:szCs w:val="24"/>
        </w:rPr>
        <w:t>e</w:t>
      </w:r>
      <w:r w:rsidR="00F0688A" w:rsidRPr="000F1CBA">
        <w:rPr>
          <w:rFonts w:ascii="Times New Roman" w:hAnsi="Times New Roman" w:cs="Times New Roman"/>
          <w:sz w:val="24"/>
          <w:szCs w:val="24"/>
        </w:rPr>
        <w:t xml:space="preserve"> </w:t>
      </w:r>
      <w:proofErr w:type="spellStart"/>
      <w:r w:rsidR="00F0688A" w:rsidRPr="000F1CBA">
        <w:rPr>
          <w:rFonts w:ascii="Times New Roman" w:hAnsi="Times New Roman" w:cs="Times New Roman"/>
          <w:i/>
          <w:iCs/>
          <w:sz w:val="24"/>
          <w:szCs w:val="24"/>
        </w:rPr>
        <w:t>Glinov</w:t>
      </w:r>
      <w:proofErr w:type="spellEnd"/>
      <w:r w:rsidR="003E29D5" w:rsidRPr="000F1CBA">
        <w:rPr>
          <w:rFonts w:ascii="Times New Roman" w:hAnsi="Times New Roman" w:cs="Times New Roman"/>
          <w:i/>
          <w:iCs/>
          <w:sz w:val="24"/>
          <w:szCs w:val="24"/>
        </w:rPr>
        <w:t xml:space="preserve"> </w:t>
      </w:r>
      <w:r w:rsidR="00F0688A" w:rsidRPr="000F1CBA">
        <w:rPr>
          <w:rFonts w:ascii="Times New Roman" w:hAnsi="Times New Roman" w:cs="Times New Roman"/>
          <w:i/>
          <w:iCs/>
          <w:sz w:val="24"/>
          <w:szCs w:val="24"/>
        </w:rPr>
        <w:t>v. Ukraine</w:t>
      </w:r>
      <w:r w:rsidR="00F0688A" w:rsidRPr="000F1CBA">
        <w:rPr>
          <w:rFonts w:ascii="Times New Roman" w:hAnsi="Times New Roman" w:cs="Times New Roman"/>
          <w:sz w:val="24"/>
          <w:szCs w:val="24"/>
        </w:rPr>
        <w:t xml:space="preserve"> and </w:t>
      </w:r>
      <w:proofErr w:type="spellStart"/>
      <w:r w:rsidR="00F0688A" w:rsidRPr="000F1CBA">
        <w:rPr>
          <w:rFonts w:ascii="Times New Roman" w:hAnsi="Times New Roman" w:cs="Times New Roman"/>
          <w:i/>
          <w:iCs/>
          <w:sz w:val="24"/>
          <w:szCs w:val="24"/>
        </w:rPr>
        <w:t>Trosin</w:t>
      </w:r>
      <w:proofErr w:type="spellEnd"/>
      <w:r w:rsidR="003E29D5" w:rsidRPr="000F1CBA">
        <w:rPr>
          <w:rFonts w:ascii="Times New Roman" w:hAnsi="Times New Roman" w:cs="Times New Roman"/>
          <w:i/>
          <w:iCs/>
          <w:sz w:val="24"/>
          <w:szCs w:val="24"/>
        </w:rPr>
        <w:t xml:space="preserve"> </w:t>
      </w:r>
      <w:r w:rsidR="00F0688A" w:rsidRPr="000F1CBA">
        <w:rPr>
          <w:rFonts w:ascii="Times New Roman" w:hAnsi="Times New Roman" w:cs="Times New Roman"/>
          <w:i/>
          <w:iCs/>
          <w:sz w:val="24"/>
          <w:szCs w:val="24"/>
        </w:rPr>
        <w:t>v. Ukraine</w:t>
      </w:r>
      <w:r w:rsidR="003E29D5" w:rsidRPr="000F1CBA">
        <w:rPr>
          <w:rFonts w:ascii="Times New Roman" w:hAnsi="Times New Roman" w:cs="Times New Roman"/>
          <w:i/>
          <w:iCs/>
          <w:sz w:val="24"/>
          <w:szCs w:val="24"/>
        </w:rPr>
        <w:t>.</w:t>
      </w:r>
      <w:r w:rsidR="009B1D05">
        <w:rPr>
          <w:rFonts w:ascii="Times New Roman" w:hAnsi="Times New Roman" w:cs="Times New Roman"/>
          <w:i/>
          <w:iCs/>
          <w:sz w:val="24"/>
          <w:szCs w:val="24"/>
        </w:rPr>
        <w:t xml:space="preserve"> </w:t>
      </w:r>
      <w:r w:rsidR="00B828A7" w:rsidRPr="000F1CBA">
        <w:rPr>
          <w:rFonts w:ascii="Times New Roman" w:eastAsia="Times New Roman" w:hAnsi="Times New Roman" w:cs="Times New Roman"/>
          <w:sz w:val="24"/>
          <w:szCs w:val="24"/>
        </w:rPr>
        <w:t>The Court affirms</w:t>
      </w:r>
      <w:r w:rsidR="003E29D5" w:rsidRPr="000F1CBA">
        <w:rPr>
          <w:rFonts w:ascii="Times New Roman" w:hAnsi="Times New Roman" w:cs="Times New Roman"/>
          <w:sz w:val="24"/>
          <w:szCs w:val="24"/>
        </w:rPr>
        <w:t xml:space="preserve"> </w:t>
      </w:r>
      <w:r w:rsidR="00B828A7" w:rsidRPr="000F1CBA">
        <w:rPr>
          <w:rFonts w:ascii="Times New Roman" w:hAnsi="Times New Roman" w:cs="Times New Roman"/>
          <w:sz w:val="24"/>
          <w:szCs w:val="24"/>
        </w:rPr>
        <w:t xml:space="preserve">that </w:t>
      </w:r>
      <w:r w:rsidR="009B1D05">
        <w:rPr>
          <w:rFonts w:ascii="Times New Roman" w:hAnsi="Times New Roman" w:cs="Times New Roman"/>
          <w:sz w:val="24"/>
          <w:szCs w:val="24"/>
        </w:rPr>
        <w:t xml:space="preserve">the act of the </w:t>
      </w:r>
      <w:r w:rsidR="003E29D5" w:rsidRPr="000F1CBA">
        <w:rPr>
          <w:rFonts w:ascii="Times New Roman" w:hAnsi="Times New Roman" w:cs="Times New Roman"/>
          <w:sz w:val="24"/>
          <w:szCs w:val="24"/>
        </w:rPr>
        <w:t>monitoring constituted an interference with the exercise of the applicant’s right to respect for his correspondence under Article 8 § 1. Such interference will contravene Article 8 § 1 unless, among other conditions, it i</w:t>
      </w:r>
      <w:r w:rsidR="00B828A7" w:rsidRPr="000F1CBA">
        <w:rPr>
          <w:rFonts w:ascii="Times New Roman" w:hAnsi="Times New Roman" w:cs="Times New Roman"/>
          <w:sz w:val="24"/>
          <w:szCs w:val="24"/>
        </w:rPr>
        <w:t>s “</w:t>
      </w:r>
      <w:r w:rsidR="00B828A7" w:rsidRPr="000B53DC">
        <w:rPr>
          <w:rFonts w:ascii="Times New Roman" w:hAnsi="Times New Roman" w:cs="Times New Roman"/>
          <w:i/>
          <w:sz w:val="24"/>
          <w:szCs w:val="24"/>
        </w:rPr>
        <w:t>in accordance with the law</w:t>
      </w:r>
      <w:r w:rsidR="00B828A7" w:rsidRPr="000F1CBA">
        <w:rPr>
          <w:rFonts w:ascii="Times New Roman" w:hAnsi="Times New Roman" w:cs="Times New Roman"/>
          <w:sz w:val="24"/>
          <w:szCs w:val="24"/>
        </w:rPr>
        <w:t xml:space="preserve">”, </w:t>
      </w:r>
      <w:r w:rsidR="003E29D5" w:rsidRPr="000F1CBA">
        <w:rPr>
          <w:rFonts w:ascii="Times New Roman" w:hAnsi="Times New Roman" w:cs="Times New Roman"/>
          <w:sz w:val="24"/>
          <w:szCs w:val="24"/>
        </w:rPr>
        <w:t xml:space="preserve">see </w:t>
      </w:r>
      <w:proofErr w:type="spellStart"/>
      <w:r w:rsidR="003E29D5" w:rsidRPr="000F1CBA">
        <w:rPr>
          <w:rFonts w:ascii="Times New Roman" w:hAnsi="Times New Roman" w:cs="Times New Roman"/>
          <w:i/>
          <w:iCs/>
          <w:sz w:val="24"/>
          <w:szCs w:val="24"/>
        </w:rPr>
        <w:t>Enea</w:t>
      </w:r>
      <w:proofErr w:type="spellEnd"/>
      <w:r w:rsidR="003E29D5" w:rsidRPr="000F1CBA">
        <w:rPr>
          <w:rFonts w:ascii="Times New Roman" w:hAnsi="Times New Roman" w:cs="Times New Roman"/>
          <w:i/>
          <w:iCs/>
          <w:sz w:val="24"/>
          <w:szCs w:val="24"/>
        </w:rPr>
        <w:t xml:space="preserve"> v. Italy.</w:t>
      </w:r>
    </w:p>
    <w:p w:rsidR="003556EF" w:rsidRPr="000F1CBA" w:rsidRDefault="003556EF" w:rsidP="003556EF">
      <w:pPr>
        <w:autoSpaceDE w:val="0"/>
        <w:autoSpaceDN w:val="0"/>
        <w:adjustRightInd w:val="0"/>
        <w:spacing w:after="0" w:line="240" w:lineRule="auto"/>
        <w:jc w:val="both"/>
        <w:rPr>
          <w:rFonts w:ascii="Times New Roman" w:hAnsi="Times New Roman" w:cs="Times New Roman"/>
          <w:sz w:val="24"/>
          <w:szCs w:val="24"/>
        </w:rPr>
      </w:pPr>
    </w:p>
    <w:p w:rsidR="00415525" w:rsidRDefault="003556EF" w:rsidP="003556EF">
      <w:pPr>
        <w:autoSpaceDE w:val="0"/>
        <w:autoSpaceDN w:val="0"/>
        <w:adjustRightInd w:val="0"/>
        <w:spacing w:after="0" w:line="240" w:lineRule="auto"/>
        <w:jc w:val="both"/>
        <w:rPr>
          <w:rFonts w:ascii="Times New Roman" w:eastAsia="Times New Roman" w:hAnsi="Times New Roman" w:cs="Times New Roman"/>
          <w:sz w:val="24"/>
          <w:szCs w:val="24"/>
        </w:rPr>
      </w:pPr>
      <w:r w:rsidRPr="000F1CBA">
        <w:rPr>
          <w:rFonts w:ascii="Times New Roman" w:eastAsia="Times New Roman" w:hAnsi="Times New Roman" w:cs="Times New Roman"/>
          <w:sz w:val="24"/>
          <w:szCs w:val="24"/>
        </w:rPr>
        <w:t>Lastly, the Court stated</w:t>
      </w:r>
      <w:r w:rsidR="00415525" w:rsidRPr="000F1CBA">
        <w:rPr>
          <w:rFonts w:ascii="Times New Roman" w:eastAsia="Times New Roman" w:hAnsi="Times New Roman" w:cs="Times New Roman"/>
          <w:sz w:val="24"/>
          <w:szCs w:val="24"/>
        </w:rPr>
        <w:t xml:space="preserve"> </w:t>
      </w:r>
      <w:r w:rsidRPr="000F1CBA">
        <w:rPr>
          <w:rFonts w:ascii="Times New Roman" w:hAnsi="Times New Roman" w:cs="Times New Roman"/>
          <w:sz w:val="24"/>
          <w:szCs w:val="24"/>
        </w:rPr>
        <w:t>as far as the applicant complained of the monitoring of the Applicant’s correspondence with various entities not exempt from monitoring under the</w:t>
      </w:r>
      <w:r w:rsidR="00F1232A" w:rsidRPr="000F1CBA">
        <w:rPr>
          <w:rFonts w:ascii="Times New Roman" w:hAnsi="Times New Roman" w:cs="Times New Roman"/>
          <w:sz w:val="24"/>
          <w:szCs w:val="24"/>
        </w:rPr>
        <w:t xml:space="preserve"> </w:t>
      </w:r>
      <w:r w:rsidRPr="000F1CBA">
        <w:rPr>
          <w:rFonts w:ascii="Times New Roman" w:hAnsi="Times New Roman" w:cs="Times New Roman"/>
          <w:sz w:val="24"/>
          <w:szCs w:val="24"/>
        </w:rPr>
        <w:t>relevant provisions of the domestic law, that part of the complaint is not manifestly ill-founded. It is not inadmissible on any grounds. It must, therefore, be declared admissible</w:t>
      </w:r>
      <w:r w:rsidR="00764EB6">
        <w:rPr>
          <w:rFonts w:ascii="Times New Roman" w:hAnsi="Times New Roman" w:cs="Times New Roman"/>
          <w:sz w:val="24"/>
          <w:szCs w:val="24"/>
        </w:rPr>
        <w:t xml:space="preserve"> and same was</w:t>
      </w:r>
      <w:r w:rsidRPr="000F1CBA">
        <w:rPr>
          <w:rFonts w:ascii="Times New Roman" w:hAnsi="Times New Roman" w:cs="Times New Roman"/>
          <w:sz w:val="24"/>
          <w:szCs w:val="24"/>
        </w:rPr>
        <w:t>.</w:t>
      </w:r>
      <w:r w:rsidRPr="000F1CBA">
        <w:rPr>
          <w:rFonts w:ascii="Times New Roman" w:eastAsia="Times New Roman" w:hAnsi="Times New Roman" w:cs="Times New Roman"/>
          <w:sz w:val="24"/>
          <w:szCs w:val="24"/>
        </w:rPr>
        <w:t xml:space="preserve"> </w:t>
      </w:r>
      <w:r w:rsidR="000B53DC">
        <w:rPr>
          <w:rFonts w:ascii="Times New Roman" w:eastAsia="Times New Roman" w:hAnsi="Times New Roman" w:cs="Times New Roman"/>
          <w:sz w:val="24"/>
          <w:szCs w:val="24"/>
        </w:rPr>
        <w:t xml:space="preserve"> </w:t>
      </w:r>
      <w:r w:rsidR="00415525" w:rsidRPr="000F1CBA">
        <w:rPr>
          <w:rFonts w:ascii="Times New Roman" w:eastAsia="Times New Roman" w:hAnsi="Times New Roman" w:cs="Times New Roman"/>
          <w:sz w:val="24"/>
          <w:szCs w:val="24"/>
        </w:rPr>
        <w:t>On the basis of the above, the European Court of Human Rights Court</w:t>
      </w:r>
      <w:r w:rsidRPr="000F1CBA">
        <w:rPr>
          <w:rFonts w:ascii="Times New Roman" w:eastAsia="Times New Roman" w:hAnsi="Times New Roman" w:cs="Times New Roman"/>
          <w:sz w:val="24"/>
          <w:szCs w:val="24"/>
        </w:rPr>
        <w:t xml:space="preserve"> found </w:t>
      </w:r>
      <w:r w:rsidRPr="000F1CBA">
        <w:rPr>
          <w:rFonts w:ascii="Times New Roman" w:hAnsi="Times New Roman" w:cs="Times New Roman"/>
          <w:sz w:val="24"/>
          <w:szCs w:val="24"/>
        </w:rPr>
        <w:t xml:space="preserve">that there has been a violation of Article 8 of the Convention on account of the monitoring of the applicant’s correspondence with </w:t>
      </w:r>
      <w:r w:rsidR="00433538">
        <w:rPr>
          <w:rFonts w:ascii="Times New Roman" w:hAnsi="Times New Roman" w:cs="Times New Roman"/>
          <w:sz w:val="24"/>
          <w:szCs w:val="24"/>
        </w:rPr>
        <w:t xml:space="preserve">various entities which were </w:t>
      </w:r>
      <w:r w:rsidRPr="000F1CBA">
        <w:rPr>
          <w:rFonts w:ascii="Times New Roman" w:hAnsi="Times New Roman" w:cs="Times New Roman"/>
          <w:sz w:val="24"/>
          <w:szCs w:val="24"/>
        </w:rPr>
        <w:t>exempt</w:t>
      </w:r>
      <w:r w:rsidR="00433538">
        <w:rPr>
          <w:rFonts w:ascii="Times New Roman" w:hAnsi="Times New Roman" w:cs="Times New Roman"/>
          <w:sz w:val="24"/>
          <w:szCs w:val="24"/>
        </w:rPr>
        <w:t>ed</w:t>
      </w:r>
      <w:r w:rsidRPr="000F1CBA">
        <w:rPr>
          <w:rFonts w:ascii="Times New Roman" w:hAnsi="Times New Roman" w:cs="Times New Roman"/>
          <w:sz w:val="24"/>
          <w:szCs w:val="24"/>
        </w:rPr>
        <w:t xml:space="preserve"> from monitoring under domestic law in force at the relevant time; that the Government has not failed to comply with its obligations under Article 34 of the Convention but there has been a </w:t>
      </w:r>
      <w:r w:rsidR="00415525" w:rsidRPr="000F1CBA">
        <w:rPr>
          <w:rFonts w:ascii="Times New Roman" w:eastAsia="Times New Roman" w:hAnsi="Times New Roman" w:cs="Times New Roman"/>
          <w:sz w:val="24"/>
          <w:szCs w:val="24"/>
        </w:rPr>
        <w:t xml:space="preserve"> disproportionate restriction on it</w:t>
      </w:r>
      <w:r w:rsidRPr="000F1CBA">
        <w:rPr>
          <w:rFonts w:ascii="Times New Roman" w:eastAsia="Times New Roman" w:hAnsi="Times New Roman" w:cs="Times New Roman"/>
          <w:sz w:val="24"/>
          <w:szCs w:val="24"/>
        </w:rPr>
        <w:t xml:space="preserve">s </w:t>
      </w:r>
      <w:r w:rsidRPr="000F1CBA">
        <w:rPr>
          <w:rFonts w:ascii="Times New Roman" w:hAnsi="Times New Roman" w:cs="Times New Roman"/>
          <w:sz w:val="24"/>
          <w:szCs w:val="24"/>
        </w:rPr>
        <w:t>interference with a prisoner’s right to respect for his correspondence</w:t>
      </w:r>
      <w:r w:rsidR="00415525" w:rsidRPr="000F1CBA">
        <w:rPr>
          <w:rFonts w:ascii="Times New Roman" w:eastAsia="Times New Roman" w:hAnsi="Times New Roman" w:cs="Times New Roman"/>
          <w:sz w:val="24"/>
          <w:szCs w:val="24"/>
        </w:rPr>
        <w:t>.</w:t>
      </w:r>
    </w:p>
    <w:p w:rsidR="00764EB6" w:rsidRPr="000F1CBA" w:rsidRDefault="00764EB6" w:rsidP="003556EF">
      <w:pPr>
        <w:autoSpaceDE w:val="0"/>
        <w:autoSpaceDN w:val="0"/>
        <w:adjustRightInd w:val="0"/>
        <w:spacing w:after="0" w:line="240" w:lineRule="auto"/>
        <w:jc w:val="both"/>
        <w:rPr>
          <w:rFonts w:ascii="Times New Roman" w:eastAsia="Times New Roman" w:hAnsi="Times New Roman" w:cs="Times New Roman"/>
          <w:sz w:val="24"/>
          <w:szCs w:val="24"/>
        </w:rPr>
      </w:pPr>
    </w:p>
    <w:p w:rsidR="00415525" w:rsidRPr="000F1CBA" w:rsidRDefault="00415525" w:rsidP="00D763DA">
      <w:pPr>
        <w:pStyle w:val="Heading3"/>
        <w:jc w:val="both"/>
        <w:rPr>
          <w:sz w:val="24"/>
          <w:szCs w:val="24"/>
        </w:rPr>
      </w:pPr>
      <w:r w:rsidRPr="000F1CBA">
        <w:rPr>
          <w:sz w:val="24"/>
          <w:szCs w:val="24"/>
        </w:rPr>
        <w:t>Expands Expression</w:t>
      </w:r>
    </w:p>
    <w:p w:rsidR="00415525" w:rsidRPr="000F1CBA" w:rsidRDefault="00415525" w:rsidP="00D763DA">
      <w:pPr>
        <w:autoSpaceDE w:val="0"/>
        <w:autoSpaceDN w:val="0"/>
        <w:adjustRightInd w:val="0"/>
        <w:spacing w:after="0" w:line="240" w:lineRule="auto"/>
        <w:jc w:val="both"/>
        <w:rPr>
          <w:rFonts w:ascii="Times New Roman" w:hAnsi="Times New Roman" w:cs="Times New Roman"/>
          <w:sz w:val="24"/>
          <w:szCs w:val="24"/>
        </w:rPr>
      </w:pPr>
      <w:r w:rsidRPr="000F1CBA">
        <w:rPr>
          <w:rFonts w:ascii="Times New Roman" w:hAnsi="Times New Roman" w:cs="Times New Roman"/>
          <w:sz w:val="24"/>
          <w:szCs w:val="24"/>
        </w:rPr>
        <w:t xml:space="preserve">This important judgment of the European Court of Human Rights </w:t>
      </w:r>
      <w:r w:rsidR="004369D8">
        <w:rPr>
          <w:rFonts w:ascii="Times New Roman" w:hAnsi="Times New Roman" w:cs="Times New Roman"/>
          <w:sz w:val="24"/>
          <w:szCs w:val="24"/>
        </w:rPr>
        <w:t>expands expression when it found that the right to privacy of</w:t>
      </w:r>
      <w:r w:rsidR="00D763DA" w:rsidRPr="000F1CBA">
        <w:rPr>
          <w:rFonts w:ascii="Times New Roman" w:hAnsi="Times New Roman" w:cs="Times New Roman"/>
          <w:sz w:val="24"/>
          <w:szCs w:val="24"/>
        </w:rPr>
        <w:t xml:space="preserve"> correspondence</w:t>
      </w:r>
      <w:r w:rsidR="004369D8">
        <w:rPr>
          <w:rFonts w:ascii="Times New Roman" w:hAnsi="Times New Roman" w:cs="Times New Roman"/>
          <w:sz w:val="24"/>
          <w:szCs w:val="24"/>
        </w:rPr>
        <w:t xml:space="preserve"> of the Applicant was unjustifiably interfered with noting that the action of the respondent </w:t>
      </w:r>
      <w:r w:rsidR="009B1D05">
        <w:rPr>
          <w:rFonts w:ascii="Times New Roman" w:hAnsi="Times New Roman" w:cs="Times New Roman"/>
          <w:sz w:val="24"/>
          <w:szCs w:val="24"/>
        </w:rPr>
        <w:t>can only be justified when as a public authority the exercise of such action of interference is in accordance with the law and necessary in a democratic society and</w:t>
      </w:r>
      <w:r w:rsidR="00D763DA" w:rsidRPr="000F1CBA">
        <w:rPr>
          <w:rFonts w:ascii="Times New Roman" w:hAnsi="Times New Roman" w:cs="Times New Roman"/>
          <w:sz w:val="24"/>
          <w:szCs w:val="24"/>
        </w:rPr>
        <w:t xml:space="preserve"> </w:t>
      </w:r>
      <w:r w:rsidR="00F1232A" w:rsidRPr="000F1CBA">
        <w:rPr>
          <w:rFonts w:ascii="Times New Roman" w:hAnsi="Times New Roman" w:cs="Times New Roman"/>
          <w:sz w:val="24"/>
          <w:szCs w:val="24"/>
        </w:rPr>
        <w:t>in the interests of national security, public safety or the economic well-being of the</w:t>
      </w:r>
      <w:r w:rsidR="00D763DA" w:rsidRPr="000F1CBA">
        <w:rPr>
          <w:rFonts w:ascii="Times New Roman" w:hAnsi="Times New Roman" w:cs="Times New Roman"/>
          <w:sz w:val="24"/>
          <w:szCs w:val="24"/>
        </w:rPr>
        <w:t xml:space="preserve"> </w:t>
      </w:r>
      <w:r w:rsidR="00F1232A" w:rsidRPr="000F1CBA">
        <w:rPr>
          <w:rFonts w:ascii="Times New Roman" w:hAnsi="Times New Roman" w:cs="Times New Roman"/>
          <w:sz w:val="24"/>
          <w:szCs w:val="24"/>
        </w:rPr>
        <w:t>country, for the prevention of disorder or crime, for the protection of health or morals,</w:t>
      </w:r>
      <w:r w:rsidR="00D763DA" w:rsidRPr="000F1CBA">
        <w:rPr>
          <w:rFonts w:ascii="Times New Roman" w:hAnsi="Times New Roman" w:cs="Times New Roman"/>
          <w:sz w:val="24"/>
          <w:szCs w:val="24"/>
        </w:rPr>
        <w:t xml:space="preserve"> </w:t>
      </w:r>
      <w:r w:rsidR="00F1232A" w:rsidRPr="000F1CBA">
        <w:rPr>
          <w:rFonts w:ascii="Times New Roman" w:hAnsi="Times New Roman" w:cs="Times New Roman"/>
          <w:sz w:val="24"/>
          <w:szCs w:val="24"/>
        </w:rPr>
        <w:t>or for the protection of the rights and freedoms of others</w:t>
      </w:r>
      <w:r w:rsidR="003C7D8A" w:rsidRPr="000F1CBA">
        <w:rPr>
          <w:rFonts w:ascii="Times New Roman" w:hAnsi="Times New Roman" w:cs="Times New Roman"/>
          <w:sz w:val="24"/>
          <w:szCs w:val="24"/>
        </w:rPr>
        <w:t xml:space="preserve">. </w:t>
      </w:r>
      <w:r w:rsidR="00433538">
        <w:rPr>
          <w:rFonts w:ascii="Times New Roman" w:hAnsi="Times New Roman" w:cs="Times New Roman"/>
          <w:sz w:val="24"/>
          <w:szCs w:val="24"/>
        </w:rPr>
        <w:t xml:space="preserve">The holding of the court that the respondent indeed violated the Applicant’s right to private life under Article 8 of the Convention when it monitored his correspondences that were exempted from monitoring </w:t>
      </w:r>
      <w:r w:rsidR="008576CF">
        <w:rPr>
          <w:rFonts w:ascii="Times New Roman" w:hAnsi="Times New Roman" w:cs="Times New Roman"/>
          <w:sz w:val="24"/>
          <w:szCs w:val="24"/>
        </w:rPr>
        <w:t>under the domestic law and that same was indeed disproportionate</w:t>
      </w:r>
      <w:r w:rsidR="000B53DC">
        <w:rPr>
          <w:rFonts w:ascii="Times New Roman" w:hAnsi="Times New Roman" w:cs="Times New Roman"/>
          <w:sz w:val="24"/>
          <w:szCs w:val="24"/>
        </w:rPr>
        <w:t>,</w:t>
      </w:r>
      <w:r w:rsidR="008576CF">
        <w:rPr>
          <w:rFonts w:ascii="Times New Roman" w:hAnsi="Times New Roman" w:cs="Times New Roman"/>
          <w:sz w:val="24"/>
          <w:szCs w:val="24"/>
        </w:rPr>
        <w:t xml:space="preserve"> clearly expands expression</w:t>
      </w:r>
      <w:r w:rsidR="003C7D8A" w:rsidRPr="000F1CBA">
        <w:rPr>
          <w:rFonts w:ascii="Times New Roman" w:hAnsi="Times New Roman" w:cs="Times New Roman"/>
          <w:sz w:val="24"/>
          <w:szCs w:val="24"/>
        </w:rPr>
        <w:t>.</w:t>
      </w:r>
    </w:p>
    <w:p w:rsidR="00415525" w:rsidRPr="000F1CBA" w:rsidRDefault="00415525" w:rsidP="00415525">
      <w:pPr>
        <w:pStyle w:val="NormalWeb"/>
      </w:pPr>
    </w:p>
    <w:p w:rsidR="00415525" w:rsidRPr="000F1CBA" w:rsidRDefault="00415525" w:rsidP="00415525">
      <w:pPr>
        <w:pStyle w:val="NormalWeb"/>
      </w:pPr>
      <w:r w:rsidRPr="000F1CBA">
        <w:t>GLOBAL PERSPECTIVE</w:t>
      </w:r>
    </w:p>
    <w:p w:rsidR="00415525" w:rsidRDefault="00764EB6" w:rsidP="00764EB6">
      <w:pPr>
        <w:pStyle w:val="Heading3"/>
        <w:rPr>
          <w:sz w:val="24"/>
          <w:szCs w:val="24"/>
        </w:rPr>
      </w:pPr>
      <w:r>
        <w:rPr>
          <w:sz w:val="24"/>
          <w:szCs w:val="24"/>
        </w:rPr>
        <w:t>Table of Authorities</w:t>
      </w:r>
    </w:p>
    <w:p w:rsidR="00764EB6" w:rsidRPr="000F1CBA" w:rsidRDefault="00764EB6" w:rsidP="00764EB6">
      <w:pPr>
        <w:pStyle w:val="Heading3"/>
        <w:rPr>
          <w:sz w:val="24"/>
          <w:szCs w:val="24"/>
        </w:rPr>
      </w:pPr>
      <w:r>
        <w:rPr>
          <w:sz w:val="24"/>
          <w:szCs w:val="24"/>
        </w:rPr>
        <w:t>Related International/or Regional laws</w:t>
      </w:r>
    </w:p>
    <w:p w:rsidR="00415525" w:rsidRPr="008576CF" w:rsidRDefault="008C1387" w:rsidP="008576CF">
      <w:pPr>
        <w:autoSpaceDE w:val="0"/>
        <w:autoSpaceDN w:val="0"/>
        <w:adjustRightInd w:val="0"/>
        <w:spacing w:after="0" w:line="240" w:lineRule="auto"/>
        <w:rPr>
          <w:rFonts w:ascii="Times New Roman" w:hAnsi="Times New Roman" w:cs="Times New Roman"/>
          <w:sz w:val="24"/>
          <w:szCs w:val="24"/>
        </w:rPr>
      </w:pPr>
      <w:r w:rsidRPr="008576CF">
        <w:rPr>
          <w:rFonts w:ascii="Times New Roman" w:hAnsi="Times New Roman" w:cs="Times New Roman"/>
          <w:sz w:val="24"/>
          <w:szCs w:val="24"/>
        </w:rPr>
        <w:t>Convention for the Protection of Human Rights and Fundamental Freedoms</w:t>
      </w:r>
      <w:r w:rsidR="008576CF">
        <w:rPr>
          <w:rFonts w:ascii="Times New Roman" w:hAnsi="Times New Roman" w:cs="Times New Roman"/>
          <w:sz w:val="24"/>
          <w:szCs w:val="24"/>
        </w:rPr>
        <w:t>. A</w:t>
      </w:r>
      <w:r w:rsidRPr="008576CF">
        <w:rPr>
          <w:rFonts w:ascii="Times New Roman" w:hAnsi="Times New Roman" w:cs="Times New Roman"/>
          <w:sz w:val="24"/>
          <w:szCs w:val="24"/>
        </w:rPr>
        <w:t>rt.</w:t>
      </w:r>
      <w:r w:rsidR="008576CF">
        <w:rPr>
          <w:rFonts w:ascii="Times New Roman" w:hAnsi="Times New Roman" w:cs="Times New Roman"/>
          <w:sz w:val="24"/>
          <w:szCs w:val="24"/>
        </w:rPr>
        <w:t xml:space="preserve"> 8</w:t>
      </w:r>
    </w:p>
    <w:p w:rsidR="00BB34FA" w:rsidRPr="008576CF" w:rsidRDefault="00BB34FA" w:rsidP="00BB34FA">
      <w:pPr>
        <w:spacing w:before="100" w:beforeAutospacing="1" w:after="100" w:afterAutospacing="1" w:line="240" w:lineRule="auto"/>
        <w:jc w:val="both"/>
        <w:rPr>
          <w:rStyle w:val="Strong"/>
          <w:rFonts w:ascii="Times New Roman" w:hAnsi="Times New Roman" w:cs="Times New Roman"/>
          <w:b w:val="0"/>
          <w:bCs w:val="0"/>
          <w:sz w:val="24"/>
          <w:szCs w:val="24"/>
        </w:rPr>
      </w:pPr>
    </w:p>
    <w:p w:rsidR="00415525" w:rsidRPr="008576CF" w:rsidRDefault="00415525"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lastRenderedPageBreak/>
        <w:t>ECtHR</w:t>
      </w:r>
      <w:proofErr w:type="spellEnd"/>
      <w:r w:rsidRPr="008576CF">
        <w:rPr>
          <w:rStyle w:val="Strong"/>
          <w:rFonts w:ascii="Times New Roman" w:hAnsi="Times New Roman" w:cs="Times New Roman"/>
          <w:b w:val="0"/>
          <w:sz w:val="24"/>
          <w:szCs w:val="24"/>
        </w:rPr>
        <w:t xml:space="preserve">, </w:t>
      </w:r>
      <w:proofErr w:type="spellStart"/>
      <w:r w:rsidR="00513324" w:rsidRPr="008576CF">
        <w:rPr>
          <w:rFonts w:ascii="Times New Roman" w:hAnsi="Times New Roman" w:cs="Times New Roman"/>
          <w:iCs/>
          <w:sz w:val="24"/>
          <w:szCs w:val="24"/>
        </w:rPr>
        <w:t>Enea</w:t>
      </w:r>
      <w:proofErr w:type="spellEnd"/>
      <w:r w:rsidR="00513324" w:rsidRPr="008576CF">
        <w:rPr>
          <w:rFonts w:ascii="Times New Roman" w:hAnsi="Times New Roman" w:cs="Times New Roman"/>
          <w:iCs/>
          <w:sz w:val="24"/>
          <w:szCs w:val="24"/>
        </w:rPr>
        <w:t xml:space="preserve"> v. Italy </w:t>
      </w:r>
      <w:r w:rsidR="00513324" w:rsidRPr="008576CF">
        <w:rPr>
          <w:rFonts w:ascii="Times New Roman" w:hAnsi="Times New Roman" w:cs="Times New Roman"/>
          <w:sz w:val="24"/>
          <w:szCs w:val="24"/>
        </w:rPr>
        <w:t xml:space="preserve">[GC], </w:t>
      </w:r>
      <w:r w:rsidR="00562F57" w:rsidRPr="008576CF">
        <w:rPr>
          <w:rFonts w:ascii="Times New Roman" w:hAnsi="Times New Roman" w:cs="Times New Roman"/>
          <w:sz w:val="24"/>
          <w:szCs w:val="24"/>
        </w:rPr>
        <w:t>App. No.</w:t>
      </w:r>
      <w:r w:rsidR="00513324" w:rsidRPr="008576CF">
        <w:rPr>
          <w:rFonts w:ascii="Times New Roman" w:hAnsi="Times New Roman" w:cs="Times New Roman"/>
          <w:sz w:val="24"/>
          <w:szCs w:val="24"/>
        </w:rPr>
        <w:t xml:space="preserve">74912/01 </w:t>
      </w:r>
      <w:r w:rsidR="00562F57" w:rsidRPr="008576CF">
        <w:rPr>
          <w:rFonts w:ascii="Times New Roman" w:hAnsi="Times New Roman" w:cs="Times New Roman"/>
          <w:sz w:val="24"/>
          <w:szCs w:val="24"/>
        </w:rPr>
        <w:t>(</w:t>
      </w:r>
      <w:r w:rsidR="00513324" w:rsidRPr="008576CF">
        <w:rPr>
          <w:rFonts w:ascii="Times New Roman" w:hAnsi="Times New Roman" w:cs="Times New Roman"/>
          <w:sz w:val="24"/>
          <w:szCs w:val="24"/>
        </w:rPr>
        <w:t>2009).</w:t>
      </w:r>
    </w:p>
    <w:p w:rsidR="00513324" w:rsidRPr="008576CF" w:rsidRDefault="00562F57" w:rsidP="008576CF">
      <w:pPr>
        <w:autoSpaceDE w:val="0"/>
        <w:autoSpaceDN w:val="0"/>
        <w:adjustRightInd w:val="0"/>
        <w:spacing w:before="100" w:beforeAutospacing="1" w:after="0" w:afterAutospacing="1" w:line="240" w:lineRule="auto"/>
        <w:jc w:val="both"/>
        <w:rPr>
          <w:rFonts w:ascii="Times New Roman" w:hAnsi="Times New Roman" w:cs="Times New Roman"/>
          <w:iCs/>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513324" w:rsidRPr="008576CF">
        <w:rPr>
          <w:rFonts w:ascii="Times New Roman" w:hAnsi="Times New Roman" w:cs="Times New Roman"/>
          <w:iCs/>
          <w:sz w:val="24"/>
          <w:szCs w:val="24"/>
        </w:rPr>
        <w:t>Glinov</w:t>
      </w:r>
      <w:proofErr w:type="spellEnd"/>
      <w:r w:rsidR="00513324" w:rsidRPr="008576CF">
        <w:rPr>
          <w:rFonts w:ascii="Times New Roman" w:hAnsi="Times New Roman" w:cs="Times New Roman"/>
          <w:iCs/>
          <w:sz w:val="24"/>
          <w:szCs w:val="24"/>
        </w:rPr>
        <w:t xml:space="preserve"> v. Ukraine</w:t>
      </w:r>
      <w:r w:rsidR="00513324"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513324" w:rsidRPr="008576CF">
        <w:rPr>
          <w:rFonts w:ascii="Times New Roman" w:hAnsi="Times New Roman" w:cs="Times New Roman"/>
          <w:sz w:val="24"/>
          <w:szCs w:val="24"/>
        </w:rPr>
        <w:t xml:space="preserve">13693/05, </w:t>
      </w:r>
      <w:r w:rsidRPr="008576CF">
        <w:rPr>
          <w:rFonts w:ascii="Times New Roman" w:hAnsi="Times New Roman" w:cs="Times New Roman"/>
          <w:sz w:val="24"/>
          <w:szCs w:val="24"/>
        </w:rPr>
        <w:t>(</w:t>
      </w:r>
      <w:r w:rsidR="00513324" w:rsidRPr="008576CF">
        <w:rPr>
          <w:rFonts w:ascii="Times New Roman" w:hAnsi="Times New Roman" w:cs="Times New Roman"/>
          <w:sz w:val="24"/>
          <w:szCs w:val="24"/>
        </w:rPr>
        <w:t>2009</w:t>
      </w:r>
      <w:r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r w:rsidR="00513324" w:rsidRPr="008576CF">
        <w:rPr>
          <w:rFonts w:ascii="Times New Roman" w:hAnsi="Times New Roman" w:cs="Times New Roman"/>
          <w:sz w:val="24"/>
          <w:szCs w:val="24"/>
        </w:rPr>
        <w:t xml:space="preserve"> </w:t>
      </w:r>
    </w:p>
    <w:p w:rsidR="00415525" w:rsidRPr="008576CF" w:rsidRDefault="00562F57" w:rsidP="008576CF">
      <w:pPr>
        <w:autoSpaceDE w:val="0"/>
        <w:autoSpaceDN w:val="0"/>
        <w:adjustRightInd w:val="0"/>
        <w:spacing w:before="100" w:beforeAutospacing="1" w:after="0" w:afterAutospacing="1" w:line="240" w:lineRule="auto"/>
        <w:jc w:val="both"/>
        <w:rPr>
          <w:rFonts w:ascii="Times New Roman" w:hAnsi="Times New Roman" w:cs="Times New Roman"/>
          <w:iCs/>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513324" w:rsidRPr="008576CF">
        <w:rPr>
          <w:rFonts w:ascii="Times New Roman" w:hAnsi="Times New Roman" w:cs="Times New Roman"/>
          <w:iCs/>
          <w:sz w:val="24"/>
          <w:szCs w:val="24"/>
        </w:rPr>
        <w:t>Trosin</w:t>
      </w:r>
      <w:proofErr w:type="spellEnd"/>
      <w:r w:rsidR="00513324" w:rsidRPr="008576CF">
        <w:rPr>
          <w:rFonts w:ascii="Times New Roman" w:hAnsi="Times New Roman" w:cs="Times New Roman"/>
          <w:iCs/>
          <w:sz w:val="24"/>
          <w:szCs w:val="24"/>
        </w:rPr>
        <w:t xml:space="preserve"> v. Ukraine</w:t>
      </w:r>
      <w:r w:rsidR="00513324"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513324" w:rsidRPr="008576CF">
        <w:rPr>
          <w:rFonts w:ascii="Times New Roman" w:hAnsi="Times New Roman" w:cs="Times New Roman"/>
          <w:sz w:val="24"/>
          <w:szCs w:val="24"/>
        </w:rPr>
        <w:t xml:space="preserve">39758/05, </w:t>
      </w:r>
      <w:r w:rsidR="00BB34FA" w:rsidRPr="008576CF">
        <w:rPr>
          <w:rFonts w:ascii="Times New Roman" w:hAnsi="Times New Roman" w:cs="Times New Roman"/>
          <w:sz w:val="24"/>
          <w:szCs w:val="24"/>
        </w:rPr>
        <w:t>(</w:t>
      </w:r>
      <w:r w:rsidR="00513324" w:rsidRPr="008576CF">
        <w:rPr>
          <w:rFonts w:ascii="Times New Roman" w:hAnsi="Times New Roman" w:cs="Times New Roman"/>
          <w:sz w:val="24"/>
          <w:szCs w:val="24"/>
        </w:rPr>
        <w:t>2012).</w:t>
      </w:r>
    </w:p>
    <w:p w:rsidR="00513324"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hyperlink r:id="rId5" w:anchor="{" w:history="1">
        <w:proofErr w:type="spellStart"/>
        <w:r w:rsidR="00513324" w:rsidRPr="008576CF">
          <w:rPr>
            <w:rFonts w:ascii="Times New Roman" w:hAnsi="Times New Roman" w:cs="Times New Roman"/>
            <w:iCs/>
            <w:sz w:val="24"/>
            <w:szCs w:val="24"/>
          </w:rPr>
          <w:t>Vintman</w:t>
        </w:r>
        <w:proofErr w:type="spellEnd"/>
        <w:r w:rsidR="00513324" w:rsidRPr="008576CF">
          <w:rPr>
            <w:rFonts w:ascii="Times New Roman" w:hAnsi="Times New Roman" w:cs="Times New Roman"/>
            <w:iCs/>
            <w:sz w:val="24"/>
            <w:szCs w:val="24"/>
          </w:rPr>
          <w:t xml:space="preserve"> v. Ukraine</w:t>
        </w:r>
        <w:r w:rsidR="00513324"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513324" w:rsidRPr="008576CF">
          <w:rPr>
            <w:rFonts w:ascii="Times New Roman" w:hAnsi="Times New Roman" w:cs="Times New Roman"/>
            <w:sz w:val="24"/>
            <w:szCs w:val="24"/>
          </w:rPr>
          <w:t xml:space="preserve"> 28403/05</w:t>
        </w:r>
        <w:proofErr w:type="gramStart"/>
        <w:r w:rsidR="00513324"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513324" w:rsidRPr="008576CF">
          <w:rPr>
            <w:rFonts w:ascii="Times New Roman" w:hAnsi="Times New Roman" w:cs="Times New Roman"/>
            <w:sz w:val="24"/>
            <w:szCs w:val="24"/>
          </w:rPr>
          <w:t xml:space="preserve">2014) </w:t>
        </w:r>
      </w:hyperlink>
    </w:p>
    <w:p w:rsidR="00513324" w:rsidRPr="008576CF" w:rsidRDefault="00562F57" w:rsidP="008576CF">
      <w:pPr>
        <w:spacing w:before="100" w:beforeAutospacing="1" w:after="100" w:afterAutospacing="1" w:line="240" w:lineRule="auto"/>
        <w:jc w:val="both"/>
        <w:rPr>
          <w:rStyle w:val="Strong"/>
          <w:rFonts w:ascii="Times New Roman" w:hAnsi="Times New Roman" w:cs="Times New Roman"/>
          <w:b w:val="0"/>
          <w:bCs w:val="0"/>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513324" w:rsidRPr="008576CF">
        <w:rPr>
          <w:rFonts w:ascii="Times New Roman" w:hAnsi="Times New Roman" w:cs="Times New Roman"/>
          <w:iCs/>
          <w:sz w:val="24"/>
          <w:szCs w:val="24"/>
        </w:rPr>
        <w:t>Chaykovskiy</w:t>
      </w:r>
      <w:proofErr w:type="spellEnd"/>
      <w:r w:rsidR="00513324" w:rsidRPr="008576CF">
        <w:rPr>
          <w:rFonts w:ascii="Times New Roman" w:hAnsi="Times New Roman" w:cs="Times New Roman"/>
          <w:iCs/>
          <w:sz w:val="24"/>
          <w:szCs w:val="24"/>
        </w:rPr>
        <w:t xml:space="preserve"> v. Ukraine</w:t>
      </w:r>
      <w:r w:rsidR="00513324"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513324" w:rsidRPr="008576CF">
        <w:rPr>
          <w:rFonts w:ascii="Times New Roman" w:hAnsi="Times New Roman" w:cs="Times New Roman"/>
          <w:sz w:val="24"/>
          <w:szCs w:val="24"/>
        </w:rPr>
        <w:t>2295/06</w:t>
      </w:r>
      <w:proofErr w:type="gramStart"/>
      <w:r w:rsidR="00513324"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513324" w:rsidRPr="008576CF">
        <w:rPr>
          <w:rFonts w:ascii="Times New Roman" w:hAnsi="Times New Roman" w:cs="Times New Roman"/>
          <w:sz w:val="24"/>
          <w:szCs w:val="24"/>
        </w:rPr>
        <w:t>2009).</w:t>
      </w:r>
    </w:p>
    <w:p w:rsidR="00033CA5"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Belyaev</w:t>
      </w:r>
      <w:proofErr w:type="spellEnd"/>
      <w:r w:rsidR="00033CA5" w:rsidRPr="008576CF">
        <w:rPr>
          <w:rFonts w:ascii="Times New Roman" w:hAnsi="Times New Roman" w:cs="Times New Roman"/>
          <w:iCs/>
          <w:sz w:val="24"/>
          <w:szCs w:val="24"/>
        </w:rPr>
        <w:t xml:space="preserve"> and </w:t>
      </w:r>
      <w:proofErr w:type="spellStart"/>
      <w:r w:rsidR="00033CA5" w:rsidRPr="008576CF">
        <w:rPr>
          <w:rFonts w:ascii="Times New Roman" w:hAnsi="Times New Roman" w:cs="Times New Roman"/>
          <w:iCs/>
          <w:sz w:val="24"/>
          <w:szCs w:val="24"/>
        </w:rPr>
        <w:t>Digtyar</w:t>
      </w:r>
      <w:proofErr w:type="spellEnd"/>
      <w:r w:rsidR="00033CA5" w:rsidRPr="008576CF">
        <w:rPr>
          <w:rFonts w:ascii="Times New Roman" w:hAnsi="Times New Roman" w:cs="Times New Roman"/>
          <w:iCs/>
          <w:sz w:val="24"/>
          <w:szCs w:val="24"/>
        </w:rPr>
        <w:t xml:space="preserve"> v. Ukraine</w:t>
      </w:r>
      <w:r w:rsidRPr="008576CF">
        <w:rPr>
          <w:rFonts w:ascii="Times New Roman" w:hAnsi="Times New Roman" w:cs="Times New Roman"/>
          <w:sz w:val="24"/>
          <w:szCs w:val="24"/>
        </w:rPr>
        <w:t xml:space="preserve"> App. No.</w:t>
      </w:r>
      <w:r w:rsidR="00033CA5" w:rsidRPr="008576CF">
        <w:rPr>
          <w:rFonts w:ascii="Times New Roman" w:hAnsi="Times New Roman" w:cs="Times New Roman"/>
          <w:sz w:val="24"/>
          <w:szCs w:val="24"/>
        </w:rPr>
        <w:t>16984/04 and 9947/05</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2012)</w:t>
      </w:r>
      <w:r w:rsidR="00033CA5" w:rsidRPr="008576CF">
        <w:rPr>
          <w:rFonts w:ascii="Times New Roman" w:hAnsi="Times New Roman" w:cs="Times New Roman"/>
          <w:iCs/>
          <w:sz w:val="24"/>
          <w:szCs w:val="24"/>
        </w:rPr>
        <w:t xml:space="preserve"> </w:t>
      </w:r>
    </w:p>
    <w:p w:rsidR="00033CA5"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Valeriy</w:t>
      </w:r>
      <w:proofErr w:type="spellEnd"/>
      <w:r w:rsidR="00033CA5" w:rsidRPr="008576CF">
        <w:rPr>
          <w:rFonts w:ascii="Times New Roman" w:hAnsi="Times New Roman" w:cs="Times New Roman"/>
          <w:iCs/>
          <w:sz w:val="24"/>
          <w:szCs w:val="24"/>
        </w:rPr>
        <w:t xml:space="preserve"> </w:t>
      </w:r>
      <w:proofErr w:type="spellStart"/>
      <w:r w:rsidR="00033CA5" w:rsidRPr="008576CF">
        <w:rPr>
          <w:rFonts w:ascii="Times New Roman" w:hAnsi="Times New Roman" w:cs="Times New Roman"/>
          <w:iCs/>
          <w:sz w:val="24"/>
          <w:szCs w:val="24"/>
        </w:rPr>
        <w:t>Fuklev</w:t>
      </w:r>
      <w:proofErr w:type="spellEnd"/>
      <w:r w:rsidR="00033CA5" w:rsidRPr="008576CF">
        <w:rPr>
          <w:rFonts w:ascii="Times New Roman" w:hAnsi="Times New Roman" w:cs="Times New Roman"/>
          <w:iCs/>
          <w:sz w:val="24"/>
          <w:szCs w:val="24"/>
        </w:rPr>
        <w:t xml:space="preserve"> v. Ukraine</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6318/03</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2014</w:t>
      </w:r>
      <w:r w:rsidR="00BB34FA" w:rsidRPr="008576CF">
        <w:rPr>
          <w:rFonts w:ascii="Times New Roman" w:hAnsi="Times New Roman" w:cs="Times New Roman"/>
          <w:sz w:val="24"/>
          <w:szCs w:val="24"/>
        </w:rPr>
        <w:t>)</w:t>
      </w:r>
    </w:p>
    <w:p w:rsidR="00033CA5"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Orlovskiy</w:t>
      </w:r>
      <w:proofErr w:type="spellEnd"/>
      <w:r w:rsidR="00033CA5" w:rsidRPr="008576CF">
        <w:rPr>
          <w:rFonts w:ascii="Times New Roman" w:hAnsi="Times New Roman" w:cs="Times New Roman"/>
          <w:iCs/>
          <w:sz w:val="24"/>
          <w:szCs w:val="24"/>
        </w:rPr>
        <w:t xml:space="preserve"> v. Ukraine</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12222/09</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2015).</w:t>
      </w:r>
    </w:p>
    <w:p w:rsidR="00033CA5"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r w:rsidR="00033CA5" w:rsidRPr="008576CF">
        <w:rPr>
          <w:rFonts w:ascii="Times New Roman" w:hAnsi="Times New Roman" w:cs="Times New Roman"/>
          <w:iCs/>
          <w:sz w:val="24"/>
          <w:szCs w:val="24"/>
        </w:rPr>
        <w:t xml:space="preserve">Sergey </w:t>
      </w:r>
      <w:proofErr w:type="spellStart"/>
      <w:r w:rsidR="00033CA5" w:rsidRPr="008576CF">
        <w:rPr>
          <w:rFonts w:ascii="Times New Roman" w:hAnsi="Times New Roman" w:cs="Times New Roman"/>
          <w:iCs/>
          <w:sz w:val="24"/>
          <w:szCs w:val="24"/>
        </w:rPr>
        <w:t>Savenko</w:t>
      </w:r>
      <w:proofErr w:type="spellEnd"/>
      <w:r w:rsidR="00033CA5" w:rsidRPr="008576CF">
        <w:rPr>
          <w:rFonts w:ascii="Times New Roman" w:hAnsi="Times New Roman" w:cs="Times New Roman"/>
          <w:iCs/>
          <w:sz w:val="24"/>
          <w:szCs w:val="24"/>
        </w:rPr>
        <w:t xml:space="preserve"> v. Ukraine</w:t>
      </w:r>
      <w:r w:rsidR="00033CA5" w:rsidRPr="008576CF">
        <w:rPr>
          <w:rFonts w:ascii="Times New Roman" w:hAnsi="Times New Roman" w:cs="Times New Roman"/>
          <w:sz w:val="24"/>
          <w:szCs w:val="24"/>
        </w:rPr>
        <w:t>,</w:t>
      </w:r>
      <w:r w:rsidRPr="008576CF">
        <w:rPr>
          <w:rFonts w:ascii="Times New Roman" w:hAnsi="Times New Roman" w:cs="Times New Roman"/>
          <w:sz w:val="24"/>
          <w:szCs w:val="24"/>
        </w:rPr>
        <w:t xml:space="preserve"> App. No.</w:t>
      </w:r>
      <w:r w:rsidR="00033CA5" w:rsidRPr="008576CF">
        <w:rPr>
          <w:rFonts w:ascii="Times New Roman" w:hAnsi="Times New Roman" w:cs="Times New Roman"/>
          <w:sz w:val="24"/>
          <w:szCs w:val="24"/>
        </w:rPr>
        <w:t>59731/09</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2013).</w:t>
      </w:r>
    </w:p>
    <w:p w:rsidR="00415525"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w:t>
      </w:r>
      <w:r w:rsidR="00033CA5" w:rsidRPr="008576CF">
        <w:rPr>
          <w:rFonts w:ascii="Times New Roman" w:hAnsi="Times New Roman" w:cs="Times New Roman"/>
          <w:iCs/>
          <w:sz w:val="24"/>
          <w:szCs w:val="24"/>
        </w:rPr>
        <w:t xml:space="preserve"> </w:t>
      </w:r>
      <w:proofErr w:type="spellStart"/>
      <w:r w:rsidR="00033CA5" w:rsidRPr="008576CF">
        <w:rPr>
          <w:rFonts w:ascii="Times New Roman" w:hAnsi="Times New Roman" w:cs="Times New Roman"/>
          <w:iCs/>
          <w:sz w:val="24"/>
          <w:szCs w:val="24"/>
        </w:rPr>
        <w:t>Danilov</w:t>
      </w:r>
      <w:proofErr w:type="spellEnd"/>
      <w:r w:rsidR="00033CA5" w:rsidRPr="008576CF">
        <w:rPr>
          <w:rFonts w:ascii="Times New Roman" w:hAnsi="Times New Roman" w:cs="Times New Roman"/>
          <w:iCs/>
          <w:sz w:val="24"/>
          <w:szCs w:val="24"/>
        </w:rPr>
        <w:t xml:space="preserve"> v. Ukraine</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2585/06,</w:t>
      </w:r>
      <w:r w:rsidR="00BB34FA" w:rsidRPr="008576CF">
        <w:rPr>
          <w:rFonts w:ascii="Times New Roman" w:hAnsi="Times New Roman" w:cs="Times New Roman"/>
          <w:sz w:val="24"/>
          <w:szCs w:val="24"/>
        </w:rPr>
        <w:t xml:space="preserve"> (</w:t>
      </w:r>
      <w:r w:rsidR="00033CA5" w:rsidRPr="008576CF">
        <w:rPr>
          <w:rFonts w:ascii="Times New Roman" w:hAnsi="Times New Roman" w:cs="Times New Roman"/>
          <w:sz w:val="24"/>
          <w:szCs w:val="24"/>
        </w:rPr>
        <w:t>2014).</w:t>
      </w:r>
    </w:p>
    <w:p w:rsidR="00033CA5" w:rsidRPr="008576CF" w:rsidRDefault="00562F57" w:rsidP="008576CF">
      <w:pPr>
        <w:spacing w:before="100" w:beforeAutospacing="1" w:after="100" w:afterAutospacing="1" w:line="240" w:lineRule="auto"/>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Balogh</w:t>
      </w:r>
      <w:proofErr w:type="spellEnd"/>
      <w:r w:rsidR="00033CA5" w:rsidRPr="008576CF">
        <w:rPr>
          <w:rFonts w:ascii="Times New Roman" w:hAnsi="Times New Roman" w:cs="Times New Roman"/>
          <w:iCs/>
          <w:sz w:val="24"/>
          <w:szCs w:val="24"/>
        </w:rPr>
        <w:t xml:space="preserve"> v. Hungary</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47940/99</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2004</w:t>
      </w:r>
      <w:r w:rsidR="00BB34FA" w:rsidRPr="008576CF">
        <w:rPr>
          <w:rFonts w:ascii="Times New Roman" w:hAnsi="Times New Roman" w:cs="Times New Roman"/>
          <w:sz w:val="24"/>
          <w:szCs w:val="24"/>
        </w:rPr>
        <w:t>)</w:t>
      </w:r>
    </w:p>
    <w:p w:rsidR="00033CA5" w:rsidRPr="008576CF" w:rsidRDefault="00562F57" w:rsidP="008576CF">
      <w:pPr>
        <w:spacing w:before="100" w:beforeAutospacing="1" w:after="100" w:afterAutospacing="1" w:line="240" w:lineRule="auto"/>
        <w:ind w:left="720"/>
        <w:jc w:val="both"/>
        <w:rPr>
          <w:rStyle w:val="Strong"/>
          <w:rFonts w:ascii="Times New Roman" w:hAnsi="Times New Roman" w:cs="Times New Roman"/>
          <w:b w:val="0"/>
          <w:bCs w:val="0"/>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Sarac</w:t>
      </w:r>
      <w:proofErr w:type="spellEnd"/>
      <w:r w:rsidR="00033CA5" w:rsidRPr="008576CF">
        <w:rPr>
          <w:rFonts w:ascii="Times New Roman" w:hAnsi="Times New Roman" w:cs="Times New Roman"/>
          <w:iCs/>
          <w:sz w:val="24"/>
          <w:szCs w:val="24"/>
        </w:rPr>
        <w:t xml:space="preserve"> v. Turkey</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35841/97</w:t>
      </w:r>
    </w:p>
    <w:p w:rsidR="00033CA5" w:rsidRPr="008576CF" w:rsidRDefault="00562F57" w:rsidP="008576CF">
      <w:pPr>
        <w:spacing w:before="100" w:beforeAutospacing="1" w:after="100" w:afterAutospacing="1" w:line="240" w:lineRule="auto"/>
        <w:ind w:left="720"/>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Karabet</w:t>
      </w:r>
      <w:proofErr w:type="spellEnd"/>
      <w:r w:rsidR="00033CA5" w:rsidRPr="008576CF">
        <w:rPr>
          <w:rFonts w:ascii="Times New Roman" w:hAnsi="Times New Roman" w:cs="Times New Roman"/>
          <w:iCs/>
          <w:sz w:val="24"/>
          <w:szCs w:val="24"/>
        </w:rPr>
        <w:t xml:space="preserve"> and Others v. Ukraine</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38906/07 and 52025/07</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2013).</w:t>
      </w:r>
    </w:p>
    <w:p w:rsidR="00033CA5" w:rsidRPr="008576CF" w:rsidRDefault="00562F57" w:rsidP="008576CF">
      <w:pPr>
        <w:spacing w:before="100" w:beforeAutospacing="1" w:after="100" w:afterAutospacing="1" w:line="240" w:lineRule="auto"/>
        <w:ind w:left="720"/>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Dolenec</w:t>
      </w:r>
      <w:proofErr w:type="spellEnd"/>
      <w:r w:rsidR="00033CA5" w:rsidRPr="008576CF">
        <w:rPr>
          <w:rFonts w:ascii="Times New Roman" w:hAnsi="Times New Roman" w:cs="Times New Roman"/>
          <w:iCs/>
          <w:sz w:val="24"/>
          <w:szCs w:val="24"/>
        </w:rPr>
        <w:t xml:space="preserve"> v. Croatia</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25282/06</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2009)</w:t>
      </w:r>
      <w:r w:rsidR="00033CA5" w:rsidRPr="008576CF">
        <w:rPr>
          <w:rFonts w:ascii="Times New Roman" w:hAnsi="Times New Roman" w:cs="Times New Roman"/>
          <w:iCs/>
          <w:sz w:val="24"/>
          <w:szCs w:val="24"/>
        </w:rPr>
        <w:t xml:space="preserve"> </w:t>
      </w:r>
    </w:p>
    <w:p w:rsidR="00033CA5" w:rsidRPr="008576CF" w:rsidRDefault="00562F57" w:rsidP="008576CF">
      <w:pPr>
        <w:spacing w:before="100" w:beforeAutospacing="1" w:after="100" w:afterAutospacing="1" w:line="240" w:lineRule="auto"/>
        <w:ind w:left="720"/>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033CA5" w:rsidRPr="008576CF">
        <w:rPr>
          <w:rFonts w:ascii="Times New Roman" w:hAnsi="Times New Roman" w:cs="Times New Roman"/>
          <w:iCs/>
          <w:sz w:val="24"/>
          <w:szCs w:val="24"/>
        </w:rPr>
        <w:t>Diri</w:t>
      </w:r>
      <w:proofErr w:type="spellEnd"/>
      <w:r w:rsidR="00033CA5" w:rsidRPr="008576CF">
        <w:rPr>
          <w:rFonts w:ascii="Times New Roman" w:hAnsi="Times New Roman" w:cs="Times New Roman"/>
          <w:iCs/>
          <w:sz w:val="24"/>
          <w:szCs w:val="24"/>
        </w:rPr>
        <w:t xml:space="preserve"> v. Turkey</w:t>
      </w:r>
      <w:r w:rsidR="00033CA5" w:rsidRPr="008576CF">
        <w:rPr>
          <w:rFonts w:ascii="Times New Roman" w:hAnsi="Times New Roman" w:cs="Times New Roman"/>
          <w:sz w:val="24"/>
          <w:szCs w:val="24"/>
        </w:rPr>
        <w:t xml:space="preserve">, </w:t>
      </w:r>
      <w:r w:rsidRPr="008576CF">
        <w:rPr>
          <w:rFonts w:ascii="Times New Roman" w:hAnsi="Times New Roman" w:cs="Times New Roman"/>
          <w:sz w:val="24"/>
          <w:szCs w:val="24"/>
        </w:rPr>
        <w:t>App. No.</w:t>
      </w:r>
      <w:r w:rsidR="00033CA5" w:rsidRPr="008576CF">
        <w:rPr>
          <w:rFonts w:ascii="Times New Roman" w:hAnsi="Times New Roman" w:cs="Times New Roman"/>
          <w:sz w:val="24"/>
          <w:szCs w:val="24"/>
        </w:rPr>
        <w:t>68351/01</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2007</w:t>
      </w:r>
      <w:r w:rsidR="00BB34FA" w:rsidRPr="008576CF">
        <w:rPr>
          <w:rFonts w:ascii="Times New Roman" w:hAnsi="Times New Roman" w:cs="Times New Roman"/>
          <w:sz w:val="24"/>
          <w:szCs w:val="24"/>
        </w:rPr>
        <w:t>)</w:t>
      </w:r>
    </w:p>
    <w:p w:rsidR="00033CA5" w:rsidRPr="008576CF" w:rsidRDefault="00562F57" w:rsidP="008576CF">
      <w:pPr>
        <w:spacing w:before="100" w:beforeAutospacing="1" w:after="100" w:afterAutospacing="1" w:line="240" w:lineRule="auto"/>
        <w:ind w:left="720"/>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r w:rsidR="00033CA5" w:rsidRPr="008576CF">
        <w:rPr>
          <w:rFonts w:ascii="Times New Roman" w:hAnsi="Times New Roman" w:cs="Times New Roman"/>
          <w:iCs/>
          <w:sz w:val="24"/>
          <w:szCs w:val="24"/>
        </w:rPr>
        <w:t>D.G. v. Poland</w:t>
      </w:r>
      <w:r w:rsidR="00033CA5" w:rsidRPr="008576CF">
        <w:rPr>
          <w:rFonts w:ascii="Times New Roman" w:hAnsi="Times New Roman" w:cs="Times New Roman"/>
          <w:sz w:val="24"/>
          <w:szCs w:val="24"/>
        </w:rPr>
        <w:t>,</w:t>
      </w:r>
      <w:r w:rsidRPr="008576CF">
        <w:rPr>
          <w:rFonts w:ascii="Times New Roman" w:hAnsi="Times New Roman" w:cs="Times New Roman"/>
          <w:sz w:val="24"/>
          <w:szCs w:val="24"/>
        </w:rPr>
        <w:t xml:space="preserve"> App. No.</w:t>
      </w:r>
      <w:r w:rsidR="00033CA5" w:rsidRPr="008576CF">
        <w:rPr>
          <w:rFonts w:ascii="Times New Roman" w:hAnsi="Times New Roman" w:cs="Times New Roman"/>
          <w:sz w:val="24"/>
          <w:szCs w:val="24"/>
        </w:rPr>
        <w:t>45705/07</w:t>
      </w:r>
      <w:proofErr w:type="gramStart"/>
      <w:r w:rsidR="00033CA5"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033CA5" w:rsidRPr="008576CF">
        <w:rPr>
          <w:rFonts w:ascii="Times New Roman" w:hAnsi="Times New Roman" w:cs="Times New Roman"/>
          <w:sz w:val="24"/>
          <w:szCs w:val="24"/>
        </w:rPr>
        <w:t xml:space="preserve">2013). </w:t>
      </w:r>
    </w:p>
    <w:p w:rsidR="00A67238" w:rsidRPr="008576CF" w:rsidRDefault="00562F57" w:rsidP="008576CF">
      <w:pPr>
        <w:spacing w:before="100" w:beforeAutospacing="1" w:after="100" w:afterAutospacing="1" w:line="240" w:lineRule="auto"/>
        <w:ind w:left="720"/>
        <w:jc w:val="both"/>
        <w:rPr>
          <w:rFonts w:ascii="Times New Roman" w:hAnsi="Times New Roman" w:cs="Times New Roman"/>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proofErr w:type="spellStart"/>
      <w:r w:rsidR="00A67238" w:rsidRPr="008576CF">
        <w:rPr>
          <w:rFonts w:ascii="Times New Roman" w:hAnsi="Times New Roman" w:cs="Times New Roman"/>
          <w:iCs/>
          <w:sz w:val="24"/>
          <w:szCs w:val="24"/>
        </w:rPr>
        <w:t>Naydyon</w:t>
      </w:r>
      <w:proofErr w:type="spellEnd"/>
      <w:r w:rsidR="00A67238" w:rsidRPr="008576CF">
        <w:rPr>
          <w:rFonts w:ascii="Times New Roman" w:hAnsi="Times New Roman" w:cs="Times New Roman"/>
          <w:iCs/>
          <w:sz w:val="24"/>
          <w:szCs w:val="24"/>
        </w:rPr>
        <w:t xml:space="preserve"> v. Ukraine, </w:t>
      </w:r>
      <w:r w:rsidRPr="008576CF">
        <w:rPr>
          <w:rFonts w:ascii="Times New Roman" w:hAnsi="Times New Roman" w:cs="Times New Roman"/>
          <w:iCs/>
          <w:sz w:val="24"/>
          <w:szCs w:val="24"/>
        </w:rPr>
        <w:t>App. No.</w:t>
      </w:r>
      <w:r w:rsidR="00A67238" w:rsidRPr="008576CF">
        <w:rPr>
          <w:rFonts w:ascii="Times New Roman" w:hAnsi="Times New Roman" w:cs="Times New Roman"/>
          <w:iCs/>
          <w:sz w:val="24"/>
          <w:szCs w:val="24"/>
        </w:rPr>
        <w:t>16474/03</w:t>
      </w:r>
      <w:proofErr w:type="gramStart"/>
      <w:r w:rsidR="00A67238" w:rsidRPr="008576CF">
        <w:rPr>
          <w:rFonts w:ascii="Times New Roman" w:hAnsi="Times New Roman" w:cs="Times New Roman"/>
          <w:iCs/>
          <w:sz w:val="24"/>
          <w:szCs w:val="24"/>
        </w:rPr>
        <w:t>,</w:t>
      </w:r>
      <w:r w:rsidR="00BB34FA" w:rsidRPr="008576CF">
        <w:rPr>
          <w:rFonts w:ascii="Times New Roman" w:hAnsi="Times New Roman" w:cs="Times New Roman"/>
          <w:iCs/>
          <w:sz w:val="24"/>
          <w:szCs w:val="24"/>
        </w:rPr>
        <w:t>(</w:t>
      </w:r>
      <w:proofErr w:type="gramEnd"/>
      <w:r w:rsidR="00A67238" w:rsidRPr="008576CF">
        <w:rPr>
          <w:rFonts w:ascii="Times New Roman" w:hAnsi="Times New Roman" w:cs="Times New Roman"/>
          <w:iCs/>
          <w:sz w:val="24"/>
          <w:szCs w:val="24"/>
        </w:rPr>
        <w:t>2010)</w:t>
      </w:r>
    </w:p>
    <w:p w:rsidR="00415525" w:rsidRDefault="00562F57" w:rsidP="008576CF">
      <w:pPr>
        <w:spacing w:before="100" w:beforeAutospacing="1" w:after="100" w:afterAutospacing="1" w:line="240" w:lineRule="auto"/>
        <w:ind w:left="720"/>
        <w:jc w:val="both"/>
        <w:rPr>
          <w:rFonts w:ascii="Times New Roman" w:hAnsi="Times New Roman" w:cs="Times New Roman"/>
          <w:iCs/>
          <w:sz w:val="24"/>
          <w:szCs w:val="24"/>
        </w:rPr>
      </w:pPr>
      <w:proofErr w:type="spellStart"/>
      <w:r w:rsidRPr="008576CF">
        <w:rPr>
          <w:rStyle w:val="Strong"/>
          <w:rFonts w:ascii="Times New Roman" w:hAnsi="Times New Roman" w:cs="Times New Roman"/>
          <w:b w:val="0"/>
          <w:sz w:val="24"/>
          <w:szCs w:val="24"/>
        </w:rPr>
        <w:t>ECtHR</w:t>
      </w:r>
      <w:proofErr w:type="spellEnd"/>
      <w:r w:rsidRPr="008576CF">
        <w:rPr>
          <w:rStyle w:val="Strong"/>
          <w:rFonts w:ascii="Times New Roman" w:hAnsi="Times New Roman" w:cs="Times New Roman"/>
          <w:b w:val="0"/>
          <w:sz w:val="24"/>
          <w:szCs w:val="24"/>
        </w:rPr>
        <w:t xml:space="preserve">, </w:t>
      </w:r>
      <w:hyperlink r:id="rId6" w:history="1">
        <w:proofErr w:type="spellStart"/>
        <w:r w:rsidR="008310BB" w:rsidRPr="008576CF">
          <w:rPr>
            <w:rFonts w:ascii="Times New Roman" w:hAnsi="Times New Roman" w:cs="Times New Roman"/>
            <w:iCs/>
            <w:sz w:val="24"/>
            <w:szCs w:val="24"/>
          </w:rPr>
          <w:t>Muršić</w:t>
        </w:r>
        <w:proofErr w:type="spellEnd"/>
        <w:r w:rsidR="008310BB" w:rsidRPr="008576CF">
          <w:rPr>
            <w:rFonts w:ascii="Times New Roman" w:hAnsi="Times New Roman" w:cs="Times New Roman"/>
            <w:iCs/>
            <w:sz w:val="24"/>
            <w:szCs w:val="24"/>
          </w:rPr>
          <w:t xml:space="preserve"> v. Croatia </w:t>
        </w:r>
        <w:r w:rsidR="008310BB" w:rsidRPr="008576CF">
          <w:rPr>
            <w:rFonts w:ascii="Times New Roman" w:hAnsi="Times New Roman" w:cs="Times New Roman"/>
            <w:sz w:val="24"/>
            <w:szCs w:val="24"/>
          </w:rPr>
          <w:t xml:space="preserve">([GC], </w:t>
        </w:r>
        <w:r w:rsidRPr="008576CF">
          <w:rPr>
            <w:rFonts w:ascii="Times New Roman" w:hAnsi="Times New Roman" w:cs="Times New Roman"/>
            <w:sz w:val="24"/>
            <w:szCs w:val="24"/>
          </w:rPr>
          <w:t>App. No.</w:t>
        </w:r>
        <w:r w:rsidR="008310BB" w:rsidRPr="008576CF">
          <w:rPr>
            <w:rFonts w:ascii="Times New Roman" w:hAnsi="Times New Roman" w:cs="Times New Roman"/>
            <w:sz w:val="24"/>
            <w:szCs w:val="24"/>
          </w:rPr>
          <w:t xml:space="preserve"> 7334/13</w:t>
        </w:r>
        <w:proofErr w:type="gramStart"/>
        <w:r w:rsidR="008310BB" w:rsidRPr="008576CF">
          <w:rPr>
            <w:rFonts w:ascii="Times New Roman" w:hAnsi="Times New Roman" w:cs="Times New Roman"/>
            <w:sz w:val="24"/>
            <w:szCs w:val="24"/>
          </w:rPr>
          <w:t>,</w:t>
        </w:r>
        <w:r w:rsidR="00BB34FA" w:rsidRPr="008576CF">
          <w:rPr>
            <w:rFonts w:ascii="Times New Roman" w:hAnsi="Times New Roman" w:cs="Times New Roman"/>
            <w:sz w:val="24"/>
            <w:szCs w:val="24"/>
          </w:rPr>
          <w:t>(</w:t>
        </w:r>
        <w:proofErr w:type="gramEnd"/>
        <w:r w:rsidR="008310BB" w:rsidRPr="008576CF">
          <w:rPr>
            <w:rFonts w:ascii="Times New Roman" w:hAnsi="Times New Roman" w:cs="Times New Roman"/>
            <w:sz w:val="24"/>
            <w:szCs w:val="24"/>
          </w:rPr>
          <w:t>2016)</w:t>
        </w:r>
        <w:r w:rsidR="00513324" w:rsidRPr="008576CF">
          <w:rPr>
            <w:rFonts w:ascii="Times New Roman" w:hAnsi="Times New Roman" w:cs="Times New Roman"/>
            <w:iCs/>
            <w:sz w:val="24"/>
            <w:szCs w:val="24"/>
          </w:rPr>
          <w:t xml:space="preserve"> </w:t>
        </w:r>
      </w:hyperlink>
    </w:p>
    <w:p w:rsidR="008576CF" w:rsidRDefault="008576CF" w:rsidP="008576CF">
      <w:pPr>
        <w:spacing w:before="100" w:beforeAutospacing="1" w:after="100" w:afterAutospacing="1" w:line="240" w:lineRule="auto"/>
        <w:ind w:left="720"/>
        <w:jc w:val="both"/>
        <w:rPr>
          <w:rFonts w:ascii="Times New Roman" w:hAnsi="Times New Roman" w:cs="Times New Roman"/>
          <w:iCs/>
          <w:sz w:val="24"/>
          <w:szCs w:val="24"/>
        </w:rPr>
      </w:pPr>
    </w:p>
    <w:p w:rsidR="008576CF" w:rsidRPr="008576CF" w:rsidRDefault="008576CF" w:rsidP="008576CF">
      <w:pPr>
        <w:spacing w:before="100" w:beforeAutospacing="1" w:after="100" w:afterAutospacing="1" w:line="240" w:lineRule="auto"/>
        <w:jc w:val="both"/>
        <w:rPr>
          <w:rFonts w:ascii="Times New Roman" w:hAnsi="Times New Roman" w:cs="Times New Roman"/>
          <w:b/>
          <w:sz w:val="24"/>
          <w:szCs w:val="24"/>
        </w:rPr>
      </w:pPr>
      <w:r w:rsidRPr="008576CF">
        <w:rPr>
          <w:rFonts w:ascii="Times New Roman" w:hAnsi="Times New Roman" w:cs="Times New Roman"/>
          <w:b/>
          <w:iCs/>
          <w:sz w:val="24"/>
          <w:szCs w:val="24"/>
        </w:rPr>
        <w:t>National Standards, law or jurisprudence</w:t>
      </w:r>
    </w:p>
    <w:p w:rsidR="00415525" w:rsidRDefault="008310BB" w:rsidP="000B53DC">
      <w:pPr>
        <w:spacing w:before="100" w:beforeAutospacing="1" w:after="100" w:afterAutospacing="1" w:line="240" w:lineRule="auto"/>
        <w:rPr>
          <w:rFonts w:ascii="Times New Roman" w:hAnsi="Times New Roman" w:cs="Times New Roman"/>
          <w:sz w:val="24"/>
          <w:szCs w:val="24"/>
        </w:rPr>
      </w:pPr>
      <w:r w:rsidRPr="008576CF">
        <w:rPr>
          <w:rFonts w:ascii="Times New Roman" w:hAnsi="Times New Roman" w:cs="Times New Roman"/>
          <w:sz w:val="24"/>
          <w:szCs w:val="24"/>
        </w:rPr>
        <w:t>Code on the Enforcement of Sentences (2003)</w:t>
      </w:r>
      <w:r w:rsidR="008C1387" w:rsidRPr="008576CF">
        <w:rPr>
          <w:rFonts w:ascii="Times New Roman" w:hAnsi="Times New Roman" w:cs="Times New Roman"/>
          <w:sz w:val="24"/>
          <w:szCs w:val="24"/>
        </w:rPr>
        <w:t xml:space="preserve"> art. 113</w:t>
      </w:r>
    </w:p>
    <w:p w:rsidR="00764EB6" w:rsidRPr="008576CF" w:rsidRDefault="00764EB6" w:rsidP="000B53DC">
      <w:pPr>
        <w:spacing w:before="100" w:beforeAutospacing="1" w:after="100" w:afterAutospacing="1" w:line="240" w:lineRule="auto"/>
        <w:rPr>
          <w:rFonts w:ascii="Times New Roman" w:hAnsi="Times New Roman" w:cs="Times New Roman"/>
          <w:sz w:val="24"/>
          <w:szCs w:val="24"/>
        </w:rPr>
      </w:pPr>
    </w:p>
    <w:p w:rsidR="00415525" w:rsidRPr="000B53DC" w:rsidRDefault="00415525" w:rsidP="00415525">
      <w:pPr>
        <w:pStyle w:val="NormalWeb"/>
        <w:rPr>
          <w:b/>
        </w:rPr>
      </w:pPr>
      <w:r w:rsidRPr="000B53DC">
        <w:rPr>
          <w:b/>
        </w:rPr>
        <w:t>CASE SIGNIFICANCE</w:t>
      </w:r>
    </w:p>
    <w:p w:rsidR="00415525" w:rsidRPr="000B53DC" w:rsidRDefault="00415525" w:rsidP="00415525">
      <w:pPr>
        <w:pStyle w:val="Heading3"/>
        <w:rPr>
          <w:b w:val="0"/>
          <w:sz w:val="24"/>
          <w:szCs w:val="24"/>
        </w:rPr>
      </w:pPr>
      <w:r w:rsidRPr="000B53DC">
        <w:rPr>
          <w:b w:val="0"/>
          <w:sz w:val="24"/>
          <w:szCs w:val="24"/>
        </w:rPr>
        <w:lastRenderedPageBreak/>
        <w:t>The decision establishes a binding or persuasive precedent within its jurisdiction.</w:t>
      </w:r>
    </w:p>
    <w:sectPr w:rsidR="00415525" w:rsidRPr="000B53DC" w:rsidSect="003E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00E"/>
    <w:multiLevelType w:val="multilevel"/>
    <w:tmpl w:val="56EA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251EC"/>
    <w:multiLevelType w:val="multilevel"/>
    <w:tmpl w:val="264C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029B0"/>
    <w:multiLevelType w:val="multilevel"/>
    <w:tmpl w:val="611264F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Theme="minorHAnsi" w:hAnsiTheme="minorHAnsi" w:cstheme="minorBidi" w:hint="default"/>
        <w:b/>
        <w:color w:val="0000FF"/>
        <w:sz w:val="22"/>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B6973"/>
    <w:multiLevelType w:val="multilevel"/>
    <w:tmpl w:val="6FC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A37E4"/>
    <w:multiLevelType w:val="multilevel"/>
    <w:tmpl w:val="B178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93950"/>
    <w:multiLevelType w:val="multilevel"/>
    <w:tmpl w:val="E3B4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77C20"/>
    <w:multiLevelType w:val="multilevel"/>
    <w:tmpl w:val="38D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914D0"/>
    <w:multiLevelType w:val="multilevel"/>
    <w:tmpl w:val="5A8E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A7F4B"/>
    <w:multiLevelType w:val="multilevel"/>
    <w:tmpl w:val="708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25"/>
    <w:rsid w:val="00030F96"/>
    <w:rsid w:val="00033CA5"/>
    <w:rsid w:val="000A18A3"/>
    <w:rsid w:val="000A4E18"/>
    <w:rsid w:val="000B53DC"/>
    <w:rsid w:val="000F1CBA"/>
    <w:rsid w:val="00107960"/>
    <w:rsid w:val="00117000"/>
    <w:rsid w:val="0013071B"/>
    <w:rsid w:val="001449AC"/>
    <w:rsid w:val="00166728"/>
    <w:rsid w:val="001E19B8"/>
    <w:rsid w:val="001F3E9A"/>
    <w:rsid w:val="0023718F"/>
    <w:rsid w:val="0025208A"/>
    <w:rsid w:val="0032593B"/>
    <w:rsid w:val="003556EF"/>
    <w:rsid w:val="003C7D8A"/>
    <w:rsid w:val="003E29D5"/>
    <w:rsid w:val="00415525"/>
    <w:rsid w:val="00433538"/>
    <w:rsid w:val="004369D8"/>
    <w:rsid w:val="004D43A7"/>
    <w:rsid w:val="00507B6E"/>
    <w:rsid w:val="00513324"/>
    <w:rsid w:val="00561B65"/>
    <w:rsid w:val="00562F57"/>
    <w:rsid w:val="005671B8"/>
    <w:rsid w:val="0057151C"/>
    <w:rsid w:val="006B1A20"/>
    <w:rsid w:val="00752844"/>
    <w:rsid w:val="00764EB6"/>
    <w:rsid w:val="007A28C1"/>
    <w:rsid w:val="008310BB"/>
    <w:rsid w:val="00853A4A"/>
    <w:rsid w:val="008576CF"/>
    <w:rsid w:val="008C1387"/>
    <w:rsid w:val="009B1D05"/>
    <w:rsid w:val="00A67238"/>
    <w:rsid w:val="00AF4F79"/>
    <w:rsid w:val="00B828A7"/>
    <w:rsid w:val="00BB34FA"/>
    <w:rsid w:val="00BB4182"/>
    <w:rsid w:val="00C677C1"/>
    <w:rsid w:val="00D763DA"/>
    <w:rsid w:val="00DC2BC4"/>
    <w:rsid w:val="00DE41FB"/>
    <w:rsid w:val="00E82066"/>
    <w:rsid w:val="00F0688A"/>
    <w:rsid w:val="00F071BE"/>
    <w:rsid w:val="00F1232A"/>
    <w:rsid w:val="00F46658"/>
    <w:rsid w:val="00F52386"/>
    <w:rsid w:val="00FF6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6DCC2-53A4-4934-8A3F-1BE4F995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25"/>
  </w:style>
  <w:style w:type="paragraph" w:styleId="Heading1">
    <w:name w:val="heading 1"/>
    <w:basedOn w:val="Normal"/>
    <w:next w:val="Normal"/>
    <w:link w:val="Heading1Char"/>
    <w:uiPriority w:val="9"/>
    <w:qFormat/>
    <w:rsid w:val="00415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5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55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5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55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1552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155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ng1">
    <w:name w:val="Strong1"/>
    <w:basedOn w:val="Normal"/>
    <w:rsid w:val="00415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525"/>
    <w:rPr>
      <w:b/>
      <w:bCs/>
    </w:rPr>
  </w:style>
  <w:style w:type="character" w:customStyle="1" w:styleId="case-direction">
    <w:name w:val="case-direction"/>
    <w:basedOn w:val="DefaultParagraphFont"/>
    <w:rsid w:val="00415525"/>
  </w:style>
  <w:style w:type="paragraph" w:styleId="ListParagraph">
    <w:name w:val="List Paragraph"/>
    <w:basedOn w:val="Normal"/>
    <w:uiPriority w:val="34"/>
    <w:qFormat/>
    <w:rsid w:val="0051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doc.echr.coe.int/eng?i=001-82846" TargetMode="External"/><Relationship Id="rId5" Type="http://schemas.openxmlformats.org/officeDocument/2006/relationships/hyperlink" Target="http://hudoc.echr.coe.int/sites/eng/pages/search.aspx?i=001-109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law</cp:lastModifiedBy>
  <cp:revision>2</cp:revision>
  <dcterms:created xsi:type="dcterms:W3CDTF">2020-01-06T14:22:00Z</dcterms:created>
  <dcterms:modified xsi:type="dcterms:W3CDTF">2020-01-06T14:22:00Z</dcterms:modified>
</cp:coreProperties>
</file>