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1C71F" w14:textId="77777777" w:rsidR="001C3CA6" w:rsidRPr="00AA68FF" w:rsidRDefault="001C3CA6" w:rsidP="0040713C">
      <w:pPr>
        <w:jc w:val="both"/>
        <w:rPr>
          <w:b/>
        </w:rPr>
      </w:pPr>
      <w:proofErr w:type="spellStart"/>
      <w:proofErr w:type="gramStart"/>
      <w:r w:rsidRPr="00AA68FF">
        <w:rPr>
          <w:b/>
        </w:rPr>
        <w:t>ECtHR</w:t>
      </w:r>
      <w:proofErr w:type="spellEnd"/>
      <w:r w:rsidRPr="00AA68FF">
        <w:rPr>
          <w:b/>
        </w:rPr>
        <w:t xml:space="preserve">, </w:t>
      </w:r>
      <w:proofErr w:type="spellStart"/>
      <w:r w:rsidRPr="00AA68FF">
        <w:rPr>
          <w:b/>
        </w:rPr>
        <w:t>Altuğ</w:t>
      </w:r>
      <w:proofErr w:type="spellEnd"/>
      <w:r w:rsidRPr="00AA68FF">
        <w:rPr>
          <w:b/>
        </w:rPr>
        <w:t xml:space="preserve"> </w:t>
      </w:r>
      <w:proofErr w:type="spellStart"/>
      <w:r w:rsidRPr="00AA68FF">
        <w:rPr>
          <w:b/>
        </w:rPr>
        <w:t>Taner</w:t>
      </w:r>
      <w:proofErr w:type="spellEnd"/>
      <w:r w:rsidRPr="00AA68FF">
        <w:rPr>
          <w:b/>
        </w:rPr>
        <w:t xml:space="preserve"> </w:t>
      </w:r>
      <w:proofErr w:type="spellStart"/>
      <w:r w:rsidRPr="00AA68FF">
        <w:rPr>
          <w:b/>
        </w:rPr>
        <w:t>Akçam</w:t>
      </w:r>
      <w:proofErr w:type="spellEnd"/>
      <w:r w:rsidRPr="00AA68FF">
        <w:rPr>
          <w:b/>
        </w:rPr>
        <w:t xml:space="preserve"> v. Turkey, </w:t>
      </w:r>
      <w:proofErr w:type="spellStart"/>
      <w:r w:rsidRPr="00AA68FF">
        <w:rPr>
          <w:b/>
        </w:rPr>
        <w:t>Applic</w:t>
      </w:r>
      <w:proofErr w:type="spellEnd"/>
      <w:r w:rsidRPr="00AA68FF">
        <w:rPr>
          <w:b/>
        </w:rPr>
        <w:t>.</w:t>
      </w:r>
      <w:proofErr w:type="gramEnd"/>
      <w:r w:rsidRPr="00AA68FF">
        <w:rPr>
          <w:b/>
        </w:rPr>
        <w:t xml:space="preserve"> No. </w:t>
      </w:r>
      <w:r w:rsidRPr="00AA68FF">
        <w:rPr>
          <w:b/>
        </w:rPr>
        <w:fldChar w:fldCharType="begin"/>
      </w:r>
      <w:r w:rsidRPr="00AA68FF">
        <w:rPr>
          <w:b/>
        </w:rPr>
        <w:instrText xml:space="preserve"> HYPERLINK "https://hudoc.echr.coe.int/eng" \l "{%22appno%22:[%2227520/07%22]}" \t "_blank" </w:instrText>
      </w:r>
      <w:r w:rsidRPr="00AA68FF">
        <w:rPr>
          <w:b/>
        </w:rPr>
        <w:fldChar w:fldCharType="separate"/>
      </w:r>
      <w:r w:rsidRPr="00AA68FF">
        <w:rPr>
          <w:rStyle w:val="Hyperlink"/>
          <w:b/>
          <w:iCs/>
          <w:color w:val="auto"/>
          <w:u w:val="none"/>
        </w:rPr>
        <w:t>27520/07</w:t>
      </w:r>
      <w:r w:rsidRPr="00AA68FF">
        <w:rPr>
          <w:b/>
        </w:rPr>
        <w:fldChar w:fldCharType="end"/>
      </w:r>
      <w:r w:rsidRPr="00AA68FF">
        <w:rPr>
          <w:b/>
        </w:rPr>
        <w:t>, 25.01.2012</w:t>
      </w:r>
    </w:p>
    <w:p w14:paraId="04B0A684" w14:textId="77777777" w:rsidR="001C3CA6" w:rsidRPr="00AA68FF" w:rsidRDefault="001C3CA6" w:rsidP="0040713C">
      <w:pPr>
        <w:jc w:val="both"/>
        <w:rPr>
          <w:b/>
        </w:rPr>
      </w:pPr>
    </w:p>
    <w:p w14:paraId="07F0B68D" w14:textId="77777777" w:rsidR="001C3CA6" w:rsidRPr="00AA68FF" w:rsidRDefault="001C3CA6" w:rsidP="0040713C">
      <w:pPr>
        <w:jc w:val="both"/>
        <w:rPr>
          <w:b/>
        </w:rPr>
      </w:pPr>
      <w:r w:rsidRPr="00AA68FF">
        <w:rPr>
          <w:b/>
        </w:rPr>
        <w:t xml:space="preserve">1. </w:t>
      </w:r>
      <w:proofErr w:type="gramStart"/>
      <w:r w:rsidRPr="00AA68FF">
        <w:rPr>
          <w:b/>
        </w:rPr>
        <w:t>Summary</w:t>
      </w:r>
      <w:proofErr w:type="gramEnd"/>
      <w:r w:rsidRPr="00AA68FF">
        <w:rPr>
          <w:b/>
        </w:rPr>
        <w:t xml:space="preserve"> and Outcome </w:t>
      </w:r>
    </w:p>
    <w:p w14:paraId="3897F339" w14:textId="77777777" w:rsidR="00325AD2" w:rsidRPr="00AA68FF" w:rsidRDefault="00325AD2" w:rsidP="0040713C">
      <w:pPr>
        <w:jc w:val="both"/>
        <w:rPr>
          <w:b/>
        </w:rPr>
      </w:pPr>
    </w:p>
    <w:p w14:paraId="385AADCB" w14:textId="77777777" w:rsidR="00325AD2" w:rsidRPr="00AA68FF" w:rsidRDefault="008B37E4" w:rsidP="0040713C">
      <w:pPr>
        <w:jc w:val="both"/>
      </w:pPr>
      <w:r w:rsidRPr="00AA68FF">
        <w:t>The European Court of Human R</w:t>
      </w:r>
      <w:r w:rsidR="007F353D" w:rsidRPr="00AA68FF">
        <w:t>ights (the Court) concluded to the</w:t>
      </w:r>
      <w:r w:rsidRPr="00AA68FF">
        <w:t xml:space="preserve"> violation of the right to freedom of expression under Article 10 of the Convention because of the vague and dangerously wide wording of Articl</w:t>
      </w:r>
      <w:r w:rsidR="007F353D" w:rsidRPr="00AA68FF">
        <w:t>e 301 of the Turkish Penal Code</w:t>
      </w:r>
      <w:r w:rsidRPr="00AA68FF">
        <w:t xml:space="preserve"> </w:t>
      </w:r>
      <w:r w:rsidR="007F353D" w:rsidRPr="00AA68FF">
        <w:t>that criminalizes</w:t>
      </w:r>
      <w:r w:rsidR="00670727" w:rsidRPr="00AA68FF">
        <w:t xml:space="preserve"> denigration of Turkish nation</w:t>
      </w:r>
      <w:r w:rsidRPr="00AA68FF">
        <w:t xml:space="preserve">. The Court held that </w:t>
      </w:r>
      <w:r w:rsidR="007F353D" w:rsidRPr="00AA68FF">
        <w:t xml:space="preserve">Article 301 presented a continuous risk for people expressing their opinion on contentious issues since </w:t>
      </w:r>
      <w:r w:rsidRPr="00AA68FF">
        <w:t xml:space="preserve">the terms of the provision did not permit to </w:t>
      </w:r>
      <w:r w:rsidR="007F353D" w:rsidRPr="00AA68FF">
        <w:t>reasonably foresee its effects despite the</w:t>
      </w:r>
      <w:r w:rsidR="00AA68FF" w:rsidRPr="00AA68FF">
        <w:t xml:space="preserve"> recent</w:t>
      </w:r>
      <w:r w:rsidR="007F353D" w:rsidRPr="00AA68FF">
        <w:t xml:space="preserve"> legislative amendment adopted to prevent its arbitrary uses. </w:t>
      </w:r>
    </w:p>
    <w:p w14:paraId="09CA27A8" w14:textId="77777777" w:rsidR="001C3CA6" w:rsidRPr="00AA68FF" w:rsidRDefault="001C3CA6" w:rsidP="0040713C">
      <w:pPr>
        <w:jc w:val="both"/>
        <w:rPr>
          <w:b/>
        </w:rPr>
      </w:pPr>
    </w:p>
    <w:p w14:paraId="2B600284" w14:textId="77777777" w:rsidR="0095573D" w:rsidRPr="00AA68FF" w:rsidRDefault="0095573D" w:rsidP="0040713C">
      <w:pPr>
        <w:jc w:val="both"/>
      </w:pPr>
    </w:p>
    <w:p w14:paraId="1D4D5B6C" w14:textId="77777777" w:rsidR="001C3CA6" w:rsidRPr="00AA68FF" w:rsidRDefault="001C3CA6" w:rsidP="0040713C">
      <w:pPr>
        <w:jc w:val="both"/>
        <w:rPr>
          <w:b/>
        </w:rPr>
      </w:pPr>
    </w:p>
    <w:p w14:paraId="3BB8ED11" w14:textId="77777777" w:rsidR="001C3CA6" w:rsidRPr="00AA68FF" w:rsidRDefault="001C3CA6" w:rsidP="0040713C">
      <w:pPr>
        <w:jc w:val="both"/>
        <w:rPr>
          <w:b/>
        </w:rPr>
      </w:pPr>
      <w:r w:rsidRPr="00AA68FF">
        <w:rPr>
          <w:b/>
        </w:rPr>
        <w:t>2. Facts</w:t>
      </w:r>
    </w:p>
    <w:p w14:paraId="406B6CCF" w14:textId="77777777" w:rsidR="003D3404" w:rsidRPr="00AA68FF" w:rsidRDefault="00666986" w:rsidP="0040713C">
      <w:pPr>
        <w:jc w:val="both"/>
      </w:pPr>
      <w:r w:rsidRPr="00AA68FF">
        <w:t>The applicant who was a professor of history working specifically on the historical events of 1915 had written an article in AGOS, a bilingual Turkish-Armenian newspaper to criticize the pro</w:t>
      </w:r>
      <w:r w:rsidR="00277A12" w:rsidRPr="00AA68FF">
        <w:t xml:space="preserve">secution of </w:t>
      </w:r>
      <w:proofErr w:type="spellStart"/>
      <w:r w:rsidR="00277A12" w:rsidRPr="00AA68FF">
        <w:t>Hrant</w:t>
      </w:r>
      <w:proofErr w:type="spellEnd"/>
      <w:r w:rsidR="00277A12" w:rsidRPr="00AA68FF">
        <w:t xml:space="preserve"> Dink under A</w:t>
      </w:r>
      <w:r w:rsidRPr="00AA68FF">
        <w:t>rticle 301 of the Turkish Penal Code crimina</w:t>
      </w:r>
      <w:r w:rsidR="00670727" w:rsidRPr="00AA68FF">
        <w:t>lizing denigration of</w:t>
      </w:r>
      <w:r w:rsidRPr="00AA68FF">
        <w:t xml:space="preserve"> </w:t>
      </w:r>
      <w:proofErr w:type="spellStart"/>
      <w:r w:rsidRPr="00AA68FF">
        <w:t>Turkishness</w:t>
      </w:r>
      <w:proofErr w:type="spellEnd"/>
      <w:r w:rsidRPr="00AA68FF">
        <w:t>. A complaint was immediatel</w:t>
      </w:r>
      <w:r w:rsidR="00277A12" w:rsidRPr="00AA68FF">
        <w:t xml:space="preserve">y </w:t>
      </w:r>
      <w:r w:rsidR="00AF176E" w:rsidRPr="00AA68FF">
        <w:t>lodged</w:t>
      </w:r>
      <w:r w:rsidR="00277A12" w:rsidRPr="00AA68FF">
        <w:t xml:space="preserve"> against the applicant</w:t>
      </w:r>
      <w:r w:rsidRPr="00AA68FF">
        <w:t xml:space="preserve"> for violation of article 301, 214 (incitement to commit an offence), 215 (praising a crime and a criminal) and 216 (incitement to hatred and hostility among the people) of the Turkish Criminal Code. The applicant, in his statement b</w:t>
      </w:r>
      <w:r w:rsidR="008B37E4" w:rsidRPr="00AA68FF">
        <w:t xml:space="preserve">efore the Public Prosecutor of </w:t>
      </w:r>
      <w:proofErr w:type="spellStart"/>
      <w:r w:rsidR="008B37E4" w:rsidRPr="00AA68FF">
        <w:t>Şiş</w:t>
      </w:r>
      <w:r w:rsidRPr="00AA68FF">
        <w:t>li</w:t>
      </w:r>
      <w:proofErr w:type="spellEnd"/>
      <w:r w:rsidRPr="00AA68FF">
        <w:t>, defended that he did not write the i</w:t>
      </w:r>
      <w:r w:rsidR="003D7058" w:rsidRPr="00AA68FF">
        <w:t>mpugned article to denigrate Turkish</w:t>
      </w:r>
      <w:r w:rsidRPr="00AA68FF">
        <w:t xml:space="preserve"> nation or to incite to hatred or hostili</w:t>
      </w:r>
      <w:r w:rsidR="003D7058" w:rsidRPr="00AA68FF">
        <w:t xml:space="preserve">ty but to support his </w:t>
      </w:r>
      <w:r w:rsidR="00AF176E" w:rsidRPr="00AA68FF">
        <w:t>colleague</w:t>
      </w:r>
      <w:r w:rsidR="003D7058" w:rsidRPr="00AA68FF">
        <w:t xml:space="preserve"> </w:t>
      </w:r>
      <w:proofErr w:type="spellStart"/>
      <w:r w:rsidR="003D7058" w:rsidRPr="00AA68FF">
        <w:t>H</w:t>
      </w:r>
      <w:r w:rsidRPr="00AA68FF">
        <w:t>rant</w:t>
      </w:r>
      <w:proofErr w:type="spellEnd"/>
      <w:r w:rsidRPr="00AA68FF">
        <w:t xml:space="preserve"> Dink and to express his opinion on Armenian issue. </w:t>
      </w:r>
      <w:r w:rsidR="00AF176E" w:rsidRPr="00AA68FF">
        <w:t xml:space="preserve">The </w:t>
      </w:r>
      <w:proofErr w:type="spellStart"/>
      <w:r w:rsidR="00AF176E" w:rsidRPr="00AA68FF">
        <w:t>Şiş</w:t>
      </w:r>
      <w:r w:rsidR="00F06511" w:rsidRPr="00AA68FF">
        <w:t>li</w:t>
      </w:r>
      <w:proofErr w:type="spellEnd"/>
      <w:r w:rsidR="00F06511" w:rsidRPr="00AA68FF">
        <w:t xml:space="preserve"> Public </w:t>
      </w:r>
      <w:r w:rsidR="00AF176E" w:rsidRPr="00AA68FF">
        <w:t>Prosecutor</w:t>
      </w:r>
      <w:r w:rsidRPr="00AA68FF">
        <w:t xml:space="preserve"> decided to terminate the proceedings </w:t>
      </w:r>
      <w:r w:rsidR="00472E44" w:rsidRPr="00AA68FF">
        <w:t xml:space="preserve">on January 30 2007, </w:t>
      </w:r>
      <w:r w:rsidRPr="00AA68FF">
        <w:t xml:space="preserve">on the grounds that </w:t>
      </w:r>
      <w:r w:rsidR="00472E44" w:rsidRPr="00AA68FF">
        <w:t xml:space="preserve">the article written by the applicant in his capacity as a professor of history was to be considered within the realm of protected expression under Article 10 of the European Convention on Human Rights. The </w:t>
      </w:r>
      <w:proofErr w:type="gramStart"/>
      <w:r w:rsidR="00472E44" w:rsidRPr="00AA68FF">
        <w:t xml:space="preserve">objection against this decision was dismissed by the Third Chamber of the </w:t>
      </w:r>
      <w:proofErr w:type="spellStart"/>
      <w:r w:rsidR="00472E44" w:rsidRPr="00AA68FF">
        <w:t>Beyoğlu</w:t>
      </w:r>
      <w:proofErr w:type="spellEnd"/>
      <w:r w:rsidR="00472E44" w:rsidRPr="00AA68FF">
        <w:t xml:space="preserve"> Assize Court</w:t>
      </w:r>
      <w:proofErr w:type="gramEnd"/>
      <w:r w:rsidR="00472E44" w:rsidRPr="00AA68FF">
        <w:t xml:space="preserve">. </w:t>
      </w:r>
      <w:r w:rsidR="00F06511" w:rsidRPr="00AA68FF">
        <w:t xml:space="preserve">On October 11 2007, </w:t>
      </w:r>
      <w:proofErr w:type="spellStart"/>
      <w:r w:rsidR="00F06511" w:rsidRPr="00AA68FF">
        <w:t>Şişli</w:t>
      </w:r>
      <w:proofErr w:type="spellEnd"/>
      <w:r w:rsidR="00F06511" w:rsidRPr="00AA68FF">
        <w:t xml:space="preserve"> Criminal Court sentenced </w:t>
      </w:r>
      <w:proofErr w:type="spellStart"/>
      <w:r w:rsidR="00F06511" w:rsidRPr="00AA68FF">
        <w:t>Arat</w:t>
      </w:r>
      <w:proofErr w:type="spellEnd"/>
      <w:r w:rsidR="00F06511" w:rsidRPr="00AA68FF">
        <w:t xml:space="preserve"> Dink (the editor of </w:t>
      </w:r>
      <w:r w:rsidR="00F06511" w:rsidRPr="00AA68FF">
        <w:rPr>
          <w:i/>
          <w:iCs/>
        </w:rPr>
        <w:t>AGOS</w:t>
      </w:r>
      <w:r w:rsidR="00F06511" w:rsidRPr="00AA68FF">
        <w:t xml:space="preserve">) and </w:t>
      </w:r>
      <w:proofErr w:type="spellStart"/>
      <w:r w:rsidR="00F06511" w:rsidRPr="00AA68FF">
        <w:t>Serkis</w:t>
      </w:r>
      <w:proofErr w:type="spellEnd"/>
      <w:r w:rsidR="00F06511" w:rsidRPr="00AA68FF">
        <w:t xml:space="preserve"> </w:t>
      </w:r>
      <w:proofErr w:type="spellStart"/>
      <w:r w:rsidR="00F06511" w:rsidRPr="00AA68FF">
        <w:t>Seropyan</w:t>
      </w:r>
      <w:proofErr w:type="spellEnd"/>
      <w:r w:rsidR="00F06511" w:rsidRPr="00AA68FF">
        <w:t xml:space="preserve"> (the owner of </w:t>
      </w:r>
      <w:r w:rsidR="00F06511" w:rsidRPr="00AA68FF">
        <w:rPr>
          <w:i/>
          <w:iCs/>
        </w:rPr>
        <w:t>AGOS</w:t>
      </w:r>
      <w:r w:rsidR="00F06511" w:rsidRPr="00AA68FF">
        <w:t xml:space="preserve">) to </w:t>
      </w:r>
      <w:proofErr w:type="gramStart"/>
      <w:r w:rsidR="00F06511" w:rsidRPr="00AA68FF">
        <w:t>one year</w:t>
      </w:r>
      <w:proofErr w:type="gramEnd"/>
      <w:r w:rsidR="00F06511" w:rsidRPr="00AA68FF">
        <w:t xml:space="preserve"> imprisonment under Article 301 of the Turkish Criminal Code for accusing the Turkish nation of genocide via the press. Although the applicant was not a party </w:t>
      </w:r>
      <w:r w:rsidR="007F353D" w:rsidRPr="00AA68FF">
        <w:t>to those proceedings, the court ordered on</w:t>
      </w:r>
      <w:r w:rsidR="00F06511" w:rsidRPr="00AA68FF">
        <w:t xml:space="preserve"> its own motion</w:t>
      </w:r>
      <w:r w:rsidR="007F353D" w:rsidRPr="00AA68FF">
        <w:t xml:space="preserve"> the reopening</w:t>
      </w:r>
      <w:r w:rsidR="00F06511" w:rsidRPr="00AA68FF">
        <w:t xml:space="preserve"> </w:t>
      </w:r>
      <w:r w:rsidR="007F353D" w:rsidRPr="00AA68FF">
        <w:t xml:space="preserve">of the </w:t>
      </w:r>
      <w:r w:rsidR="00F06511" w:rsidRPr="00AA68FF">
        <w:t xml:space="preserve">investigation against the applicant. </w:t>
      </w:r>
      <w:r w:rsidR="00472E44" w:rsidRPr="00AA68FF">
        <w:t xml:space="preserve">On November </w:t>
      </w:r>
      <w:r w:rsidR="00F06511" w:rsidRPr="00AA68FF">
        <w:t xml:space="preserve">28 2007, another complaint lodged against the applicant by an individual, accusing him to denigrate </w:t>
      </w:r>
      <w:proofErr w:type="spellStart"/>
      <w:r w:rsidR="00F06511" w:rsidRPr="00AA68FF">
        <w:t>Turkishness</w:t>
      </w:r>
      <w:proofErr w:type="spellEnd"/>
      <w:r w:rsidR="00F06511" w:rsidRPr="00AA68FF">
        <w:t xml:space="preserve"> was rejected by a decision of non-prosecution. On January 14 2008 the applicant made a request for interim measure under Rule 39 of the Rules of Court, which was rejected by the Court. </w:t>
      </w:r>
      <w:r w:rsidR="003D3404" w:rsidRPr="00AA68FF">
        <w:t xml:space="preserve">No further investigation had been initiated against the applicant after the judgment of the </w:t>
      </w:r>
      <w:proofErr w:type="spellStart"/>
      <w:r w:rsidR="003D3404" w:rsidRPr="00AA68FF">
        <w:t>Şişli</w:t>
      </w:r>
      <w:proofErr w:type="spellEnd"/>
      <w:r w:rsidR="003D3404" w:rsidRPr="00AA68FF">
        <w:t xml:space="preserve"> Criminal Court of October 11 2007. The applicant alleged before the Court the violation of his freedom of expression by the Turkish State.</w:t>
      </w:r>
      <w:r w:rsidR="00581537" w:rsidRPr="00AA68FF">
        <w:t xml:space="preserve"> The Government submitted to the Court the samples of decisions of non-prosecution and judgments of acquittal given by criminal courts in cases concerning the prosecution under article 301 of the Penal Code, also</w:t>
      </w:r>
      <w:r w:rsidR="00277A12" w:rsidRPr="00AA68FF">
        <w:t xml:space="preserve"> provided</w:t>
      </w:r>
      <w:r w:rsidR="00581537" w:rsidRPr="00AA68FF">
        <w:t xml:space="preserve"> the </w:t>
      </w:r>
      <w:r w:rsidR="00581537" w:rsidRPr="00AA68FF">
        <w:lastRenderedPageBreak/>
        <w:t>st</w:t>
      </w:r>
      <w:r w:rsidR="00277A12" w:rsidRPr="00AA68FF">
        <w:t>atistical information that showed</w:t>
      </w:r>
      <w:r w:rsidR="00581537" w:rsidRPr="00AA68FF">
        <w:t xml:space="preserve"> a significant decrea</w:t>
      </w:r>
      <w:r w:rsidR="00277A12" w:rsidRPr="00AA68FF">
        <w:t>se about the prosecutions under A</w:t>
      </w:r>
      <w:r w:rsidR="00581537" w:rsidRPr="00AA68FF">
        <w:t>rticle 301. The</w:t>
      </w:r>
      <w:r w:rsidR="004D50CA" w:rsidRPr="00AA68FF">
        <w:t xml:space="preserve"> applicant submitted the</w:t>
      </w:r>
      <w:r w:rsidR="00581537" w:rsidRPr="00AA68FF">
        <w:t xml:space="preserve"> cases where</w:t>
      </w:r>
      <w:r w:rsidR="004D50CA" w:rsidRPr="00AA68FF">
        <w:t xml:space="preserve"> </w:t>
      </w:r>
      <w:proofErr w:type="gramStart"/>
      <w:r w:rsidR="004D50CA" w:rsidRPr="00AA68FF">
        <w:t>two</w:t>
      </w:r>
      <w:r w:rsidR="00581537" w:rsidRPr="00AA68FF">
        <w:t xml:space="preserve"> writers had been convicted </w:t>
      </w:r>
      <w:r w:rsidR="00277A12" w:rsidRPr="00AA68FF">
        <w:t>under A</w:t>
      </w:r>
      <w:r w:rsidR="004D50CA" w:rsidRPr="00AA68FF">
        <w:t xml:space="preserve">rticle 301 for their articles and books published on the Armenian issue and the elements of the intimidation </w:t>
      </w:r>
      <w:r w:rsidR="00AF176E" w:rsidRPr="00AA68FF">
        <w:t>campaign</w:t>
      </w:r>
      <w:r w:rsidR="004D50CA" w:rsidRPr="00AA68FF">
        <w:t xml:space="preserve"> conducted by some individuals and newspapers against him</w:t>
      </w:r>
      <w:proofErr w:type="gramEnd"/>
      <w:r w:rsidR="004D50CA" w:rsidRPr="00AA68FF">
        <w:t>.</w:t>
      </w:r>
    </w:p>
    <w:p w14:paraId="743A0D8C" w14:textId="77777777" w:rsidR="00277A12" w:rsidRPr="00AA68FF" w:rsidRDefault="00277A12" w:rsidP="0040713C">
      <w:pPr>
        <w:jc w:val="both"/>
        <w:rPr>
          <w:b/>
        </w:rPr>
      </w:pPr>
    </w:p>
    <w:p w14:paraId="7226B795" w14:textId="77777777" w:rsidR="00277A12" w:rsidRPr="00AA68FF" w:rsidRDefault="00277A12" w:rsidP="0040713C">
      <w:pPr>
        <w:jc w:val="both"/>
        <w:rPr>
          <w:b/>
        </w:rPr>
      </w:pPr>
    </w:p>
    <w:p w14:paraId="525DB58E" w14:textId="77777777" w:rsidR="001C3CA6" w:rsidRPr="00AA68FF" w:rsidRDefault="001C3CA6" w:rsidP="0040713C">
      <w:pPr>
        <w:jc w:val="both"/>
        <w:rPr>
          <w:b/>
        </w:rPr>
      </w:pPr>
      <w:r w:rsidRPr="00AA68FF">
        <w:rPr>
          <w:b/>
        </w:rPr>
        <w:t>3. Decision Overview</w:t>
      </w:r>
    </w:p>
    <w:p w14:paraId="700AEE1C" w14:textId="77777777" w:rsidR="003D3404" w:rsidRPr="00AA68FF" w:rsidRDefault="003D3404" w:rsidP="0040713C">
      <w:pPr>
        <w:jc w:val="both"/>
        <w:rPr>
          <w:b/>
        </w:rPr>
      </w:pPr>
    </w:p>
    <w:p w14:paraId="6E5DAD18" w14:textId="77777777" w:rsidR="0040713C" w:rsidRPr="00AA68FF" w:rsidRDefault="004D50CA" w:rsidP="0040713C">
      <w:pPr>
        <w:jc w:val="both"/>
      </w:pPr>
      <w:r w:rsidRPr="00AA68FF">
        <w:t xml:space="preserve">The Court </w:t>
      </w:r>
      <w:r w:rsidR="00AF2B7A" w:rsidRPr="00AA68FF">
        <w:t>began by examining</w:t>
      </w:r>
      <w:r w:rsidRPr="00AA68FF">
        <w:t xml:space="preserve"> whether the applicant had the victim</w:t>
      </w:r>
      <w:r w:rsidR="0072374C" w:rsidRPr="00AA68FF">
        <w:t xml:space="preserve"> status</w:t>
      </w:r>
      <w:r w:rsidRPr="00AA68FF">
        <w:t xml:space="preserve"> </w:t>
      </w:r>
      <w:r w:rsidR="0072374C" w:rsidRPr="00AA68FF">
        <w:t>with</w:t>
      </w:r>
      <w:r w:rsidRPr="00AA68FF">
        <w:t>in the meaning of</w:t>
      </w:r>
      <w:r w:rsidR="00277A12" w:rsidRPr="00AA68FF">
        <w:t xml:space="preserve"> A</w:t>
      </w:r>
      <w:r w:rsidR="0072374C" w:rsidRPr="00AA68FF">
        <w:t>rticle 34 of</w:t>
      </w:r>
      <w:r w:rsidRPr="00AA68FF">
        <w:t xml:space="preserve"> the Convention and whether there had b</w:t>
      </w:r>
      <w:r w:rsidR="0072374C" w:rsidRPr="00AA68FF">
        <w:t>een an interference with his ri</w:t>
      </w:r>
      <w:r w:rsidRPr="00AA68FF">
        <w:t>ght to freedom</w:t>
      </w:r>
      <w:r w:rsidR="00277A12" w:rsidRPr="00AA68FF">
        <w:t xml:space="preserve"> of expression</w:t>
      </w:r>
      <w:r w:rsidRPr="00AA68FF">
        <w:t xml:space="preserve">. </w:t>
      </w:r>
      <w:r w:rsidR="00133F01" w:rsidRPr="00AA68FF">
        <w:t xml:space="preserve">The applicant argued that even thought the </w:t>
      </w:r>
      <w:r w:rsidR="00AF176E" w:rsidRPr="00AA68FF">
        <w:t>criminal</w:t>
      </w:r>
      <w:r w:rsidR="00133F01" w:rsidRPr="00AA68FF">
        <w:t xml:space="preserve"> investigation opened against him resulted in a non-prosecution, the mere fact that an investigation could potentially be brought against him under article 301 for his schola</w:t>
      </w:r>
      <w:bookmarkStart w:id="0" w:name="_GoBack"/>
      <w:bookmarkEnd w:id="0"/>
      <w:r w:rsidR="00133F01" w:rsidRPr="00AA68FF">
        <w:t>rly work on the Armenian issue caused him great stress, apprehension and fear of prosecution and thus constituted a continuous and direct violation of his rights. [</w:t>
      </w:r>
      <w:proofErr w:type="spellStart"/>
      <w:proofErr w:type="gramStart"/>
      <w:r w:rsidR="00133F01" w:rsidRPr="00AA68FF">
        <w:t>para</w:t>
      </w:r>
      <w:proofErr w:type="spellEnd"/>
      <w:proofErr w:type="gramEnd"/>
      <w:r w:rsidR="00133F01" w:rsidRPr="00AA68FF">
        <w:t xml:space="preserve">. 53]. He argued that </w:t>
      </w:r>
      <w:r w:rsidR="0040713C" w:rsidRPr="00AA68FF">
        <w:t xml:space="preserve">this </w:t>
      </w:r>
      <w:r w:rsidR="00AF176E" w:rsidRPr="00AA68FF">
        <w:t>continuous</w:t>
      </w:r>
      <w:r w:rsidR="0040713C" w:rsidRPr="00AA68FF">
        <w:t xml:space="preserve"> </w:t>
      </w:r>
      <w:r w:rsidR="00277A12" w:rsidRPr="00AA68FF">
        <w:t>risk of being prosecuted under A</w:t>
      </w:r>
      <w:r w:rsidR="0040713C" w:rsidRPr="00AA68FF">
        <w:t>rticle 301 puts him under a constant pressure, which</w:t>
      </w:r>
      <w:r w:rsidR="00133F01" w:rsidRPr="00AA68FF">
        <w:t xml:space="preserve"> </w:t>
      </w:r>
      <w:r w:rsidR="0040713C" w:rsidRPr="00AA68FF">
        <w:t>precluded him from working and writing on the</w:t>
      </w:r>
      <w:r w:rsidR="00277A12" w:rsidRPr="00AA68FF">
        <w:t xml:space="preserve"> Armenian</w:t>
      </w:r>
      <w:r w:rsidR="0040713C" w:rsidRPr="00AA68FF">
        <w:t xml:space="preserve"> </w:t>
      </w:r>
      <w:r w:rsidR="00277A12" w:rsidRPr="00AA68FF">
        <w:t>issue</w:t>
      </w:r>
      <w:r w:rsidR="0040713C" w:rsidRPr="00AA68FF">
        <w:t xml:space="preserve">. The government submitted that the applicant did not have the victim status </w:t>
      </w:r>
      <w:r w:rsidR="00F70B0D" w:rsidRPr="00AA68FF">
        <w:t>since</w:t>
      </w:r>
      <w:r w:rsidR="0040713C" w:rsidRPr="00AA68FF">
        <w:t xml:space="preserve"> he was not </w:t>
      </w:r>
      <w:r w:rsidR="00AF176E" w:rsidRPr="00AA68FF">
        <w:t>personally</w:t>
      </w:r>
      <w:r w:rsidR="0040713C" w:rsidRPr="00AA68FF">
        <w:t xml:space="preserve"> affected by a violation and </w:t>
      </w:r>
      <w:r w:rsidR="00F70B0D" w:rsidRPr="00AA68FF">
        <w:t xml:space="preserve">it </w:t>
      </w:r>
      <w:r w:rsidR="0040713C" w:rsidRPr="00AA68FF">
        <w:t xml:space="preserve">contended that the right to petition before the Court could </w:t>
      </w:r>
      <w:proofErr w:type="gramStart"/>
      <w:r w:rsidR="0040713C" w:rsidRPr="00AA68FF">
        <w:t>not be</w:t>
      </w:r>
      <w:proofErr w:type="gramEnd"/>
      <w:r w:rsidR="0040713C" w:rsidRPr="00AA68FF">
        <w:t xml:space="preserve"> used neither to prevent a potential violation of the Convention nor to allege the incompatibility of a national law </w:t>
      </w:r>
      <w:r w:rsidR="0040713C" w:rsidRPr="00AA68FF">
        <w:rPr>
          <w:i/>
        </w:rPr>
        <w:t xml:space="preserve">in </w:t>
      </w:r>
      <w:proofErr w:type="spellStart"/>
      <w:r w:rsidR="0040713C" w:rsidRPr="00AA68FF">
        <w:rPr>
          <w:i/>
        </w:rPr>
        <w:t>abstracto</w:t>
      </w:r>
      <w:proofErr w:type="spellEnd"/>
      <w:r w:rsidR="0040713C" w:rsidRPr="00AA68FF">
        <w:t>. [</w:t>
      </w:r>
      <w:proofErr w:type="spellStart"/>
      <w:proofErr w:type="gramStart"/>
      <w:r w:rsidR="0040713C" w:rsidRPr="00AA68FF">
        <w:t>para</w:t>
      </w:r>
      <w:proofErr w:type="spellEnd"/>
      <w:proofErr w:type="gramEnd"/>
      <w:r w:rsidR="0040713C" w:rsidRPr="00AA68FF">
        <w:t>. 62-63].</w:t>
      </w:r>
    </w:p>
    <w:p w14:paraId="1AC6548D" w14:textId="77777777" w:rsidR="006C0373" w:rsidRPr="00AA68FF" w:rsidRDefault="006C0373" w:rsidP="0040713C">
      <w:pPr>
        <w:jc w:val="both"/>
      </w:pPr>
    </w:p>
    <w:p w14:paraId="45A66F2D" w14:textId="77777777" w:rsidR="006C0373" w:rsidRPr="00AA68FF" w:rsidRDefault="006C0373" w:rsidP="0040713C">
      <w:pPr>
        <w:jc w:val="both"/>
      </w:pPr>
      <w:r w:rsidRPr="00AA68FF">
        <w:t>The Court reiter</w:t>
      </w:r>
      <w:r w:rsidR="00AF2B7A" w:rsidRPr="00AA68FF">
        <w:t>at</w:t>
      </w:r>
      <w:r w:rsidRPr="00AA68FF">
        <w:t xml:space="preserve">ed that in order to claim to be victim of a violation, a person must be directly affected by a measure. In that sense, the Convention does not grant a right to </w:t>
      </w:r>
      <w:proofErr w:type="spellStart"/>
      <w:r w:rsidRPr="00AA68FF">
        <w:rPr>
          <w:i/>
        </w:rPr>
        <w:t>actio</w:t>
      </w:r>
      <w:proofErr w:type="spellEnd"/>
      <w:r w:rsidRPr="00AA68FF">
        <w:rPr>
          <w:i/>
        </w:rPr>
        <w:t xml:space="preserve"> </w:t>
      </w:r>
      <w:proofErr w:type="spellStart"/>
      <w:r w:rsidRPr="00AA68FF">
        <w:rPr>
          <w:i/>
        </w:rPr>
        <w:t>popularis</w:t>
      </w:r>
      <w:proofErr w:type="spellEnd"/>
      <w:r w:rsidRPr="00AA68FF">
        <w:rPr>
          <w:i/>
        </w:rPr>
        <w:t>.</w:t>
      </w:r>
      <w:r w:rsidRPr="00AA68FF">
        <w:t xml:space="preserve"> [</w:t>
      </w:r>
      <w:proofErr w:type="spellStart"/>
      <w:proofErr w:type="gramStart"/>
      <w:r w:rsidRPr="00AA68FF">
        <w:t>para</w:t>
      </w:r>
      <w:proofErr w:type="spellEnd"/>
      <w:proofErr w:type="gramEnd"/>
      <w:r w:rsidRPr="00AA68FF">
        <w:t>. 66]. However the Cour</w:t>
      </w:r>
      <w:r w:rsidR="00F70B0D" w:rsidRPr="00AA68FF">
        <w:t xml:space="preserve">t </w:t>
      </w:r>
      <w:proofErr w:type="spellStart"/>
      <w:r w:rsidR="00F70B0D" w:rsidRPr="00AA68FF">
        <w:t>precised</w:t>
      </w:r>
      <w:proofErr w:type="spellEnd"/>
      <w:r w:rsidR="00F70B0D" w:rsidRPr="00AA68FF">
        <w:t xml:space="preserve"> that an applicant could</w:t>
      </w:r>
      <w:r w:rsidRPr="00AA68FF">
        <w:t xml:space="preserve"> claim to be a victim of a violation even</w:t>
      </w:r>
      <w:r w:rsidR="00AA68FF" w:rsidRPr="00AA68FF">
        <w:t xml:space="preserve"> if</w:t>
      </w:r>
      <w:r w:rsidRPr="00AA68FF">
        <w:t xml:space="preserve"> </w:t>
      </w:r>
      <w:r w:rsidR="00F70B0D" w:rsidRPr="00AA68FF">
        <w:t xml:space="preserve">he/she was not able to </w:t>
      </w:r>
      <w:r w:rsidR="00F70604" w:rsidRPr="00AA68FF">
        <w:t xml:space="preserve">submit </w:t>
      </w:r>
      <w:r w:rsidRPr="00AA68FF">
        <w:t xml:space="preserve">a concrete </w:t>
      </w:r>
      <w:r w:rsidR="00F70604" w:rsidRPr="00AA68FF">
        <w:t xml:space="preserve">interference to support </w:t>
      </w:r>
      <w:r w:rsidR="00AA68FF" w:rsidRPr="00AA68FF">
        <w:t>his/</w:t>
      </w:r>
      <w:r w:rsidR="00F70604" w:rsidRPr="00AA68FF">
        <w:t>her allegation. In this case, the Court would examine whe</w:t>
      </w:r>
      <w:r w:rsidR="00F70B0D" w:rsidRPr="00AA68FF">
        <w:t>ther the impugned legislation was</w:t>
      </w:r>
      <w:r w:rsidR="00F70604" w:rsidRPr="00AA68FF">
        <w:t xml:space="preserve"> in itself compatible with the Convention. [</w:t>
      </w:r>
      <w:proofErr w:type="spellStart"/>
      <w:proofErr w:type="gramStart"/>
      <w:r w:rsidR="00F70604" w:rsidRPr="00AA68FF">
        <w:t>para</w:t>
      </w:r>
      <w:proofErr w:type="spellEnd"/>
      <w:proofErr w:type="gramEnd"/>
      <w:r w:rsidR="00F70604" w:rsidRPr="00AA68FF">
        <w:t>. 67]. The Co</w:t>
      </w:r>
      <w:r w:rsidR="00F70B0D" w:rsidRPr="00AA68FF">
        <w:t>urt than added that a person could</w:t>
      </w:r>
      <w:r w:rsidR="00F70604" w:rsidRPr="00AA68FF">
        <w:t xml:space="preserve"> claim to be victim of a violation in absence of an individual measure of implementation if </w:t>
      </w:r>
      <w:r w:rsidR="00F70B0D" w:rsidRPr="00AA68FF">
        <w:t>he/</w:t>
      </w:r>
      <w:r w:rsidR="00F70604" w:rsidRPr="00AA68FF">
        <w:t xml:space="preserve">she </w:t>
      </w:r>
      <w:r w:rsidR="00F70B0D" w:rsidRPr="00AA68FF">
        <w:t xml:space="preserve">was </w:t>
      </w:r>
      <w:r w:rsidR="00816549" w:rsidRPr="00AA68FF">
        <w:t xml:space="preserve">required to modify </w:t>
      </w:r>
      <w:r w:rsidR="00F70B0D" w:rsidRPr="00AA68FF">
        <w:t>his/</w:t>
      </w:r>
      <w:r w:rsidR="00816549" w:rsidRPr="00AA68FF">
        <w:t>her conduct because of a law or risk</w:t>
      </w:r>
      <w:r w:rsidR="00F70B0D" w:rsidRPr="00AA68FF">
        <w:t>ed</w:t>
      </w:r>
      <w:r w:rsidR="00816549" w:rsidRPr="00AA68FF">
        <w:t xml:space="preserve"> being prosecuted or if </w:t>
      </w:r>
      <w:r w:rsidR="00F70B0D" w:rsidRPr="00AA68FF">
        <w:t>he/she was</w:t>
      </w:r>
      <w:r w:rsidR="00816549" w:rsidRPr="00AA68FF">
        <w:t xml:space="preserve"> a member of a class of people who risk</w:t>
      </w:r>
      <w:r w:rsidR="00F70B0D" w:rsidRPr="00AA68FF">
        <w:t>ed</w:t>
      </w:r>
      <w:r w:rsidR="00816549" w:rsidRPr="00AA68FF">
        <w:t xml:space="preserve"> being directly affected by the legislation. The Court also noted the chilling effect that the fear of sanction had on </w:t>
      </w:r>
      <w:r w:rsidR="00AF176E" w:rsidRPr="00AA68FF">
        <w:t>exercise</w:t>
      </w:r>
      <w:r w:rsidR="00816549" w:rsidRPr="00AA68FF">
        <w:t xml:space="preserve"> of freedom of expression even in the case of an eventual acquittal, taking into account the possible fear discouraging one from expressing similar opinions in the future. [</w:t>
      </w:r>
      <w:proofErr w:type="spellStart"/>
      <w:proofErr w:type="gramStart"/>
      <w:r w:rsidR="00816549" w:rsidRPr="00AA68FF">
        <w:t>para</w:t>
      </w:r>
      <w:proofErr w:type="spellEnd"/>
      <w:proofErr w:type="gramEnd"/>
      <w:r w:rsidR="00816549" w:rsidRPr="00AA68FF">
        <w:t xml:space="preserve">. 68]. </w:t>
      </w:r>
    </w:p>
    <w:p w14:paraId="1D03F5E7" w14:textId="77777777" w:rsidR="00816549" w:rsidRPr="00AA68FF" w:rsidRDefault="00816549" w:rsidP="0040713C">
      <w:pPr>
        <w:jc w:val="both"/>
      </w:pPr>
    </w:p>
    <w:p w14:paraId="3BFD6F9E" w14:textId="77777777" w:rsidR="00AF2B7A" w:rsidRPr="00AA68FF" w:rsidRDefault="00AF2B7A" w:rsidP="00AF2B7A">
      <w:pPr>
        <w:jc w:val="both"/>
      </w:pPr>
      <w:r w:rsidRPr="00AA68FF">
        <w:t xml:space="preserve">As to the instant case, observing that the applicant was a history professor working and publishing on the Armenian issue, a sensitive subject in Turkey, the Court held that he belonged to a group of people who could easily be </w:t>
      </w:r>
      <w:r w:rsidR="00325AD2" w:rsidRPr="00AA68FF">
        <w:t>stigmatized</w:t>
      </w:r>
      <w:r w:rsidRPr="00AA68FF">
        <w:t xml:space="preserve"> for their op</w:t>
      </w:r>
      <w:r w:rsidR="00F70B0D" w:rsidRPr="00AA68FF">
        <w:t>inions and be prosecuted under A</w:t>
      </w:r>
      <w:r w:rsidRPr="00AA68FF">
        <w:t xml:space="preserve">rticle 301, just as </w:t>
      </w:r>
      <w:proofErr w:type="spellStart"/>
      <w:r w:rsidRPr="00AA68FF">
        <w:t>Hrant</w:t>
      </w:r>
      <w:proofErr w:type="spellEnd"/>
      <w:r w:rsidRPr="00AA68FF">
        <w:t xml:space="preserve"> Dink who had been murdered by extremists after being </w:t>
      </w:r>
      <w:r w:rsidR="00AF176E" w:rsidRPr="00AA68FF">
        <w:t>stigmatized</w:t>
      </w:r>
      <w:r w:rsidRPr="00AA68FF">
        <w:t xml:space="preserve"> by media and ultranationalist groups. </w:t>
      </w:r>
      <w:r w:rsidR="00334CC7" w:rsidRPr="00AA68FF">
        <w:t>The Court noted that despite the decision of non-prosecution on behalf of the applicant, he continued to risk further investigation of this nature as a result of the criminal complaints by indiv</w:t>
      </w:r>
      <w:r w:rsidR="00AF176E" w:rsidRPr="00AA68FF">
        <w:t>id</w:t>
      </w:r>
      <w:r w:rsidR="00334CC7" w:rsidRPr="00AA68FF">
        <w:t>ua</w:t>
      </w:r>
      <w:r w:rsidR="00F70B0D" w:rsidRPr="00AA68FF">
        <w:t xml:space="preserve">ls </w:t>
      </w:r>
      <w:r w:rsidR="00AF176E" w:rsidRPr="00AA68FF">
        <w:t>alleging</w:t>
      </w:r>
      <w:r w:rsidR="00F70B0D" w:rsidRPr="00AA68FF">
        <w:t xml:space="preserve"> the violation of Article 301. </w:t>
      </w:r>
      <w:r w:rsidR="00334CC7" w:rsidRPr="00AA68FF">
        <w:t>[</w:t>
      </w:r>
      <w:proofErr w:type="spellStart"/>
      <w:proofErr w:type="gramStart"/>
      <w:r w:rsidR="00334CC7" w:rsidRPr="00AA68FF">
        <w:t>para</w:t>
      </w:r>
      <w:proofErr w:type="spellEnd"/>
      <w:proofErr w:type="gramEnd"/>
      <w:r w:rsidR="00334CC7" w:rsidRPr="00AA68FF">
        <w:t xml:space="preserve">. 71-72]. Taking into consideration the intimidation campaign presenting the applicant as a </w:t>
      </w:r>
      <w:r w:rsidR="00AA68FF" w:rsidRPr="00AA68FF">
        <w:t>“</w:t>
      </w:r>
      <w:r w:rsidR="00334CC7" w:rsidRPr="00AA68FF">
        <w:t>spy</w:t>
      </w:r>
      <w:r w:rsidR="00AA68FF" w:rsidRPr="00AA68FF">
        <w:t>”</w:t>
      </w:r>
      <w:r w:rsidR="00334CC7" w:rsidRPr="00AA68FF">
        <w:t xml:space="preserve"> and a </w:t>
      </w:r>
      <w:r w:rsidR="00AA68FF" w:rsidRPr="00AA68FF">
        <w:t>“</w:t>
      </w:r>
      <w:r w:rsidR="00334CC7" w:rsidRPr="00AA68FF">
        <w:t>traitor</w:t>
      </w:r>
      <w:r w:rsidR="00AA68FF" w:rsidRPr="00AA68FF">
        <w:t>”</w:t>
      </w:r>
      <w:r w:rsidR="00334CC7" w:rsidRPr="00AA68FF">
        <w:t xml:space="preserve">, The Court also </w:t>
      </w:r>
      <w:r w:rsidR="00686149" w:rsidRPr="00AA68FF">
        <w:t xml:space="preserve">held that the criminal complaints </w:t>
      </w:r>
      <w:r w:rsidR="00AF176E" w:rsidRPr="00AA68FF">
        <w:t>lodged</w:t>
      </w:r>
      <w:r w:rsidR="00686149" w:rsidRPr="00AA68FF">
        <w:t xml:space="preserve"> against him turned into a harassment campaign obliging him to display a self-restraint in his academic work. [</w:t>
      </w:r>
      <w:proofErr w:type="spellStart"/>
      <w:proofErr w:type="gramStart"/>
      <w:r w:rsidR="00686149" w:rsidRPr="00AA68FF">
        <w:t>para</w:t>
      </w:r>
      <w:proofErr w:type="spellEnd"/>
      <w:proofErr w:type="gramEnd"/>
      <w:r w:rsidR="00686149" w:rsidRPr="00AA68FF">
        <w:t>. 75]</w:t>
      </w:r>
    </w:p>
    <w:p w14:paraId="04AFCBEE" w14:textId="77777777" w:rsidR="00686149" w:rsidRPr="00AA68FF" w:rsidRDefault="00686149" w:rsidP="00AF2B7A">
      <w:pPr>
        <w:jc w:val="both"/>
      </w:pPr>
    </w:p>
    <w:p w14:paraId="672F2088" w14:textId="77777777" w:rsidR="005B6979" w:rsidRPr="00AA68FF" w:rsidRDefault="00686149" w:rsidP="005B6979">
      <w:pPr>
        <w:jc w:val="both"/>
      </w:pPr>
      <w:r w:rsidRPr="00AA68FF">
        <w:t xml:space="preserve">The Court </w:t>
      </w:r>
      <w:r w:rsidR="00F70B0D" w:rsidRPr="00AA68FF">
        <w:t>also examined the amendment to A</w:t>
      </w:r>
      <w:r w:rsidRPr="00AA68FF">
        <w:t xml:space="preserve">rticle </w:t>
      </w:r>
      <w:r w:rsidR="00325AD2" w:rsidRPr="00AA68FF">
        <w:t>301 adopted by the Government in order to</w:t>
      </w:r>
      <w:r w:rsidRPr="00AA68FF">
        <w:t xml:space="preserve"> prevent arbitrary or unjustified prosecutions. Based on the </w:t>
      </w:r>
      <w:r w:rsidR="00AF176E" w:rsidRPr="00AA68FF">
        <w:t>statistics</w:t>
      </w:r>
      <w:r w:rsidRPr="00AA68FF">
        <w:t xml:space="preserve"> provided by the Government, the Court noted that there was still significant number of prosecutions initiated by public prosecutors under article 301 for which the Ministry of Justice granted </w:t>
      </w:r>
      <w:r w:rsidR="00AF176E" w:rsidRPr="00AA68FF">
        <w:t>authorization</w:t>
      </w:r>
      <w:r w:rsidRPr="00AA68FF">
        <w:t xml:space="preserve">. The Court further considered this system of prior </w:t>
      </w:r>
      <w:r w:rsidR="00AF176E" w:rsidRPr="00AA68FF">
        <w:t>authorization</w:t>
      </w:r>
      <w:r w:rsidRPr="00AA68FF">
        <w:t xml:space="preserve"> not being a lasting solution capable to replace the integration of Convention </w:t>
      </w:r>
      <w:r w:rsidR="00AF176E" w:rsidRPr="00AA68FF">
        <w:t>standards</w:t>
      </w:r>
      <w:r w:rsidRPr="00AA68FF">
        <w:t xml:space="preserve"> into Turkish legal system and practice. [</w:t>
      </w:r>
      <w:proofErr w:type="spellStart"/>
      <w:proofErr w:type="gramStart"/>
      <w:r w:rsidRPr="00AA68FF">
        <w:t>para</w:t>
      </w:r>
      <w:proofErr w:type="spellEnd"/>
      <w:proofErr w:type="gramEnd"/>
      <w:r w:rsidRPr="00AA68FF">
        <w:t xml:space="preserve">. 77]. </w:t>
      </w:r>
      <w:r w:rsidR="005B6979" w:rsidRPr="00AA68FF">
        <w:t>In</w:t>
      </w:r>
      <w:r w:rsidRPr="00AA68FF">
        <w:t xml:space="preserve"> Court</w:t>
      </w:r>
      <w:r w:rsidR="005B6979" w:rsidRPr="00AA68FF">
        <w:t>’s view</w:t>
      </w:r>
      <w:r w:rsidR="00F70B0D" w:rsidRPr="00AA68FF">
        <w:t xml:space="preserve">, prior </w:t>
      </w:r>
      <w:r w:rsidR="00AF176E" w:rsidRPr="00AA68FF">
        <w:t>authorization</w:t>
      </w:r>
      <w:r w:rsidRPr="00AA68FF">
        <w:t xml:space="preserve"> to prosecution did not constitute an effective safeguard </w:t>
      </w:r>
      <w:r w:rsidR="005B6979" w:rsidRPr="00AA68FF">
        <w:t xml:space="preserve">for similar cases </w:t>
      </w:r>
      <w:r w:rsidRPr="00AA68FF">
        <w:t xml:space="preserve">since </w:t>
      </w:r>
      <w:r w:rsidR="005B6979" w:rsidRPr="00AA68FF">
        <w:t>the impugned provision may be applied again at any time</w:t>
      </w:r>
      <w:r w:rsidR="00F70B0D" w:rsidRPr="00AA68FF">
        <w:t xml:space="preserve"> in the future, in case of a cha</w:t>
      </w:r>
      <w:r w:rsidR="005B6979" w:rsidRPr="00AA68FF">
        <w:t>nge of political will by current Government or change of policy by a new Government. [</w:t>
      </w:r>
      <w:proofErr w:type="spellStart"/>
      <w:proofErr w:type="gramStart"/>
      <w:r w:rsidR="005B6979" w:rsidRPr="00AA68FF">
        <w:t>para</w:t>
      </w:r>
      <w:proofErr w:type="spellEnd"/>
      <w:proofErr w:type="gramEnd"/>
      <w:r w:rsidR="005B6979" w:rsidRPr="00AA68FF">
        <w:t>. 78]. Accordingly, the Court was convinced that in the light of the circumstances of the case, the applicant was under a considerable risk of prosecution and the threat hanging over him was real. The applicant had thus the victim status in the mean</w:t>
      </w:r>
      <w:r w:rsidR="00F70B0D" w:rsidRPr="00AA68FF">
        <w:t>in</w:t>
      </w:r>
      <w:r w:rsidR="005B6979" w:rsidRPr="00AA68FF">
        <w:t>g of the Convention. [</w:t>
      </w:r>
      <w:proofErr w:type="spellStart"/>
      <w:proofErr w:type="gramStart"/>
      <w:r w:rsidR="005B6979" w:rsidRPr="00AA68FF">
        <w:t>para</w:t>
      </w:r>
      <w:proofErr w:type="spellEnd"/>
      <w:proofErr w:type="gramEnd"/>
      <w:r w:rsidR="005B6979" w:rsidRPr="00AA68FF">
        <w:t>. 82].</w:t>
      </w:r>
    </w:p>
    <w:p w14:paraId="15FFEEA8" w14:textId="77777777" w:rsidR="005B6979" w:rsidRPr="00AA68FF" w:rsidRDefault="005B6979" w:rsidP="005B6979">
      <w:pPr>
        <w:jc w:val="both"/>
      </w:pPr>
    </w:p>
    <w:p w14:paraId="16735011" w14:textId="77777777" w:rsidR="00F7554B" w:rsidRPr="00AA68FF" w:rsidRDefault="005B6979" w:rsidP="00F7554B">
      <w:pPr>
        <w:jc w:val="both"/>
      </w:pPr>
      <w:r w:rsidRPr="00AA68FF">
        <w:t xml:space="preserve">The Court continued further to determine whether </w:t>
      </w:r>
      <w:proofErr w:type="gramStart"/>
      <w:r w:rsidRPr="00AA68FF">
        <w:t>the interference with the applicant’s right to freedom of expression was prescribed by law</w:t>
      </w:r>
      <w:proofErr w:type="gramEnd"/>
      <w:r w:rsidRPr="00AA68FF">
        <w:t xml:space="preserve">.  </w:t>
      </w:r>
      <w:r w:rsidR="00270051" w:rsidRPr="00AA68FF">
        <w:t>The Court first noted that the word</w:t>
      </w:r>
      <w:r w:rsidR="00F70B0D" w:rsidRPr="00AA68FF">
        <w:t>ing of the A</w:t>
      </w:r>
      <w:r w:rsidR="00270051" w:rsidRPr="00AA68FF">
        <w:t xml:space="preserve">rticle 301 was </w:t>
      </w:r>
      <w:r w:rsidR="00F70B0D" w:rsidRPr="00AA68FF">
        <w:t>amended by the G</w:t>
      </w:r>
      <w:r w:rsidR="00270051" w:rsidRPr="00AA68FF">
        <w:t>overnment to prevent</w:t>
      </w:r>
      <w:r w:rsidR="00F70B0D" w:rsidRPr="00AA68FF">
        <w:t xml:space="preserve"> arbitrary applications of the provision</w:t>
      </w:r>
      <w:r w:rsidR="00270051" w:rsidRPr="00AA68FF">
        <w:t xml:space="preserve">. To this end, </w:t>
      </w:r>
      <w:r w:rsidR="00DE542C" w:rsidRPr="00AA68FF">
        <w:t xml:space="preserve">the term </w:t>
      </w:r>
      <w:r w:rsidR="00AA68FF" w:rsidRPr="00AA68FF">
        <w:t>“</w:t>
      </w:r>
      <w:proofErr w:type="spellStart"/>
      <w:r w:rsidR="00DE542C" w:rsidRPr="00AA68FF">
        <w:t>Turkishness</w:t>
      </w:r>
      <w:proofErr w:type="spellEnd"/>
      <w:r w:rsidR="00AA68FF" w:rsidRPr="00AA68FF">
        <w:t>”</w:t>
      </w:r>
      <w:r w:rsidR="00DE542C" w:rsidRPr="00AA68FF">
        <w:t xml:space="preserve"> was replaced by that of </w:t>
      </w:r>
      <w:r w:rsidR="00AA68FF" w:rsidRPr="00AA68FF">
        <w:t>“</w:t>
      </w:r>
      <w:r w:rsidR="00DE542C" w:rsidRPr="00AA68FF">
        <w:t>Turkish nat</w:t>
      </w:r>
      <w:r w:rsidR="00F70B0D" w:rsidRPr="00AA68FF">
        <w:t>ion’;</w:t>
      </w:r>
      <w:r w:rsidR="00DE542C" w:rsidRPr="00AA68FF">
        <w:t xml:space="preserve"> the maximum </w:t>
      </w:r>
      <w:r w:rsidR="00F70B0D" w:rsidRPr="00AA68FF">
        <w:t>period</w:t>
      </w:r>
      <w:r w:rsidR="00DE542C" w:rsidRPr="00AA68FF">
        <w:t xml:space="preserve"> of imprisonment was reduced and the investigation on the ground of</w:t>
      </w:r>
      <w:r w:rsidR="00F70B0D" w:rsidRPr="00AA68FF">
        <w:t xml:space="preserve"> Article 301 was conditio</w:t>
      </w:r>
      <w:r w:rsidR="00F7554B" w:rsidRPr="00AA68FF">
        <w:t>ned to</w:t>
      </w:r>
      <w:r w:rsidR="00F70B0D" w:rsidRPr="00AA68FF">
        <w:t xml:space="preserve"> an </w:t>
      </w:r>
      <w:r w:rsidR="00AF176E" w:rsidRPr="00AA68FF">
        <w:t>authorization</w:t>
      </w:r>
      <w:r w:rsidR="00DE542C" w:rsidRPr="00AA68FF">
        <w:t xml:space="preserve"> by the Minister of Justice</w:t>
      </w:r>
      <w:r w:rsidR="00F70B0D" w:rsidRPr="00AA68FF">
        <w:t>. The Court noticed that despite this</w:t>
      </w:r>
      <w:r w:rsidR="00F7554B" w:rsidRPr="00AA68FF">
        <w:t xml:space="preserve"> amendment</w:t>
      </w:r>
      <w:r w:rsidR="00F70B0D" w:rsidRPr="00AA68FF">
        <w:t>,</w:t>
      </w:r>
      <w:r w:rsidR="00DE542C" w:rsidRPr="00AA68FF">
        <w:t xml:space="preserve"> </w:t>
      </w:r>
      <w:r w:rsidR="00F7554B" w:rsidRPr="00AA68FF">
        <w:t xml:space="preserve">the </w:t>
      </w:r>
      <w:proofErr w:type="gramStart"/>
      <w:r w:rsidR="00F7554B" w:rsidRPr="00AA68FF">
        <w:t>concepts</w:t>
      </w:r>
      <w:r w:rsidR="00DE542C" w:rsidRPr="00AA68FF">
        <w:t xml:space="preserve"> </w:t>
      </w:r>
      <w:r w:rsidR="00F7554B" w:rsidRPr="00AA68FF">
        <w:t xml:space="preserve">of </w:t>
      </w:r>
      <w:proofErr w:type="spellStart"/>
      <w:r w:rsidR="00F7554B" w:rsidRPr="00AA68FF">
        <w:t>Turkishness</w:t>
      </w:r>
      <w:proofErr w:type="spellEnd"/>
      <w:r w:rsidR="00F7554B" w:rsidRPr="00AA68FF">
        <w:t xml:space="preserve"> and Turkish nation </w:t>
      </w:r>
      <w:r w:rsidR="00DE542C" w:rsidRPr="00AA68FF">
        <w:t>were interpreted in the same manner by the Court of Cassation</w:t>
      </w:r>
      <w:proofErr w:type="gramEnd"/>
      <w:r w:rsidR="00DE542C" w:rsidRPr="00AA68FF">
        <w:t xml:space="preserve">. </w:t>
      </w:r>
      <w:r w:rsidR="00F7554B" w:rsidRPr="00AA68FF">
        <w:t xml:space="preserve">The </w:t>
      </w:r>
      <w:r w:rsidR="00DE542C" w:rsidRPr="00AA68FF">
        <w:t xml:space="preserve">amendment of the wording in the provision did not introduce </w:t>
      </w:r>
      <w:r w:rsidR="00F7554B" w:rsidRPr="00AA68FF">
        <w:t xml:space="preserve">thus </w:t>
      </w:r>
      <w:r w:rsidR="00DE542C" w:rsidRPr="00AA68FF">
        <w:t>a substantial change or contribute to the widening of the protection of the right to freedom of expression. [</w:t>
      </w:r>
      <w:proofErr w:type="spellStart"/>
      <w:proofErr w:type="gramStart"/>
      <w:r w:rsidR="00DE542C" w:rsidRPr="00AA68FF">
        <w:t>para</w:t>
      </w:r>
      <w:proofErr w:type="spellEnd"/>
      <w:proofErr w:type="gramEnd"/>
      <w:r w:rsidR="00DE542C" w:rsidRPr="00AA68FF">
        <w:t>. 92]</w:t>
      </w:r>
      <w:r w:rsidR="00F70B0D" w:rsidRPr="00AA68FF">
        <w:t xml:space="preserve"> The C</w:t>
      </w:r>
      <w:r w:rsidR="00F7554B" w:rsidRPr="00AA68FF">
        <w:t xml:space="preserve">ourt held that the scope of the terms under Article 301 of the Criminal Code, as </w:t>
      </w:r>
      <w:r w:rsidR="00F70B0D" w:rsidRPr="00AA68FF">
        <w:t>interpreted by the judiciary, was</w:t>
      </w:r>
      <w:r w:rsidR="00F7554B" w:rsidRPr="00AA68FF">
        <w:t xml:space="preserve"> too wide and vague and </w:t>
      </w:r>
      <w:r w:rsidR="00F70B0D" w:rsidRPr="00AA68FF">
        <w:t>did</w:t>
      </w:r>
      <w:r w:rsidR="00F7554B" w:rsidRPr="00AA68FF">
        <w:t xml:space="preserve"> not enable individuals to regulate their conduct or to foresee the consequences of their acts. [</w:t>
      </w:r>
      <w:proofErr w:type="spellStart"/>
      <w:proofErr w:type="gramStart"/>
      <w:r w:rsidR="00F7554B" w:rsidRPr="00AA68FF">
        <w:t>para</w:t>
      </w:r>
      <w:proofErr w:type="spellEnd"/>
      <w:proofErr w:type="gramEnd"/>
      <w:r w:rsidR="00F7554B" w:rsidRPr="00AA68FF">
        <w:t>. 93] The Court also concluded that the safeguards adopted to prevent the abusive application of Article 301 by the judiciary did not provide a reliable and continuous guarantee or remove the risk of being directly affected by the provision because any political change in time might affect the interpretative attitudes of the Ministry of Justice and open the way for arbitrary prosecutions. [</w:t>
      </w:r>
      <w:proofErr w:type="spellStart"/>
      <w:proofErr w:type="gramStart"/>
      <w:r w:rsidR="00F7554B" w:rsidRPr="00AA68FF">
        <w:t>para</w:t>
      </w:r>
      <w:proofErr w:type="spellEnd"/>
      <w:proofErr w:type="gramEnd"/>
      <w:r w:rsidR="00F7554B" w:rsidRPr="00AA68FF">
        <w:t xml:space="preserve">. 94]. </w:t>
      </w:r>
      <w:r w:rsidR="00EE4F48" w:rsidRPr="00AA68FF">
        <w:t xml:space="preserve"> </w:t>
      </w:r>
      <w:r w:rsidR="00F7554B" w:rsidRPr="00AA68FF">
        <w:t xml:space="preserve">Accordingly, the Court </w:t>
      </w:r>
      <w:r w:rsidR="00EE4F48" w:rsidRPr="00AA68FF">
        <w:t xml:space="preserve">found that Article 301 of the Criminal Code did not meet the </w:t>
      </w:r>
      <w:r w:rsidR="00AA68FF" w:rsidRPr="00AA68FF">
        <w:t>“</w:t>
      </w:r>
      <w:r w:rsidR="00EE4F48" w:rsidRPr="00AA68FF">
        <w:t>quality of law</w:t>
      </w:r>
      <w:r w:rsidR="00AA68FF" w:rsidRPr="00AA68FF">
        <w:t>”</w:t>
      </w:r>
      <w:r w:rsidR="00EE4F48" w:rsidRPr="00AA68FF">
        <w:t xml:space="preserve"> required by the Court’s case-law since the u</w:t>
      </w:r>
      <w:r w:rsidR="00F70B0D" w:rsidRPr="00AA68FF">
        <w:t>nacceptably broad terms of the A</w:t>
      </w:r>
      <w:r w:rsidR="00EE4F48" w:rsidRPr="00AA68FF">
        <w:t>rticle did not permit to foresee its effects. [</w:t>
      </w:r>
      <w:proofErr w:type="spellStart"/>
      <w:proofErr w:type="gramStart"/>
      <w:r w:rsidR="00EE4F48" w:rsidRPr="00AA68FF">
        <w:t>para</w:t>
      </w:r>
      <w:proofErr w:type="spellEnd"/>
      <w:proofErr w:type="gramEnd"/>
      <w:r w:rsidR="00EE4F48" w:rsidRPr="00AA68FF">
        <w:t>. 95].</w:t>
      </w:r>
    </w:p>
    <w:p w14:paraId="60D35605" w14:textId="77777777" w:rsidR="00EE4F48" w:rsidRPr="00AA68FF" w:rsidRDefault="00EE4F48" w:rsidP="00F7554B">
      <w:pPr>
        <w:jc w:val="both"/>
      </w:pPr>
    </w:p>
    <w:p w14:paraId="2697E059" w14:textId="77777777" w:rsidR="00EE4F48" w:rsidRPr="00AA68FF" w:rsidRDefault="00EE4F48" w:rsidP="00F7554B">
      <w:pPr>
        <w:jc w:val="both"/>
      </w:pPr>
      <w:r w:rsidRPr="00AA68FF">
        <w:t xml:space="preserve">Based on the foregoing, the Court concluded that </w:t>
      </w:r>
      <w:proofErr w:type="gramStart"/>
      <w:r w:rsidRPr="00AA68FF">
        <w:t>the interference with the right to freedom of expression of the applicant w</w:t>
      </w:r>
      <w:r w:rsidR="00AF176E" w:rsidRPr="00AA68FF">
        <w:t xml:space="preserve">as not prescribed by law and </w:t>
      </w:r>
      <w:r w:rsidRPr="00AA68FF">
        <w:t>eventually violated Article 10 of the Convention</w:t>
      </w:r>
      <w:proofErr w:type="gramEnd"/>
      <w:r w:rsidRPr="00AA68FF">
        <w:t>.</w:t>
      </w:r>
    </w:p>
    <w:p w14:paraId="2B868AB4" w14:textId="77777777" w:rsidR="004D50CA" w:rsidRPr="00AA68FF" w:rsidRDefault="004D50CA" w:rsidP="0040713C">
      <w:pPr>
        <w:jc w:val="both"/>
      </w:pPr>
    </w:p>
    <w:p w14:paraId="6383E318" w14:textId="77777777" w:rsidR="001C3CA6" w:rsidRPr="00AA68FF" w:rsidRDefault="001C3CA6" w:rsidP="0040713C">
      <w:pPr>
        <w:jc w:val="both"/>
        <w:rPr>
          <w:b/>
        </w:rPr>
      </w:pPr>
    </w:p>
    <w:p w14:paraId="55AC0967" w14:textId="77777777" w:rsidR="001C3CA6" w:rsidRPr="00AA68FF" w:rsidRDefault="001C3CA6" w:rsidP="0040713C">
      <w:pPr>
        <w:jc w:val="both"/>
        <w:rPr>
          <w:b/>
          <w:lang w:val="en-GB"/>
        </w:rPr>
      </w:pPr>
      <w:r w:rsidRPr="00AA68FF">
        <w:rPr>
          <w:b/>
          <w:lang w:val="en-GB"/>
        </w:rPr>
        <w:t>4. Global Perspective: National (</w:t>
      </w:r>
      <w:proofErr w:type="spellStart"/>
      <w:r w:rsidRPr="00AA68FF">
        <w:rPr>
          <w:b/>
          <w:lang w:val="en-GB"/>
        </w:rPr>
        <w:t>ECtHR</w:t>
      </w:r>
      <w:proofErr w:type="spellEnd"/>
      <w:r w:rsidRPr="00AA68FF">
        <w:rPr>
          <w:b/>
          <w:lang w:val="en-GB"/>
        </w:rPr>
        <w:t>)</w:t>
      </w:r>
    </w:p>
    <w:p w14:paraId="43F18DA8" w14:textId="77777777" w:rsidR="00EE4F48" w:rsidRPr="00AA68FF" w:rsidRDefault="00EE4F48" w:rsidP="0040713C">
      <w:pPr>
        <w:jc w:val="both"/>
        <w:rPr>
          <w:b/>
          <w:lang w:val="en-GB"/>
        </w:rPr>
      </w:pPr>
    </w:p>
    <w:p w14:paraId="24D44CAF" w14:textId="77777777" w:rsidR="00277A12" w:rsidRPr="00AA68FF" w:rsidRDefault="00EE4F48" w:rsidP="005A3233">
      <w:pPr>
        <w:rPr>
          <w:rFonts w:eastAsia="Times New Roman" w:cs="Arial"/>
          <w:color w:val="000000"/>
          <w:shd w:val="clear" w:color="auto" w:fill="FFFFFF"/>
        </w:rPr>
      </w:pPr>
      <w:r w:rsidRPr="00AA68FF">
        <w:rPr>
          <w:rFonts w:eastAsia="Times New Roman" w:cs="Arial"/>
          <w:iCs/>
          <w:color w:val="000000"/>
          <w:shd w:val="clear" w:color="auto" w:fill="FFFFFF"/>
        </w:rPr>
        <w:t>Ireland v. the United Kingdom</w:t>
      </w:r>
      <w:r w:rsidRPr="00AA68FF">
        <w:rPr>
          <w:rFonts w:eastAsia="Times New Roman" w:cs="Arial"/>
          <w:color w:val="000000"/>
          <w:shd w:val="clear" w:color="auto" w:fill="FFFFFF"/>
        </w:rPr>
        <w:t xml:space="preserve">, </w:t>
      </w:r>
      <w:r w:rsidR="00277A12" w:rsidRPr="00AA68FF">
        <w:rPr>
          <w:rFonts w:eastAsia="Times New Roman" w:cs="Arial"/>
          <w:color w:val="000000"/>
          <w:shd w:val="clear" w:color="auto" w:fill="FFFFFF"/>
        </w:rPr>
        <w:t xml:space="preserve">App. </w:t>
      </w:r>
      <w:r w:rsidR="005A3233" w:rsidRPr="00AA68FF">
        <w:rPr>
          <w:rFonts w:eastAsia="Times New Roman" w:cs="Arial"/>
          <w:color w:val="000000"/>
          <w:shd w:val="clear" w:color="auto" w:fill="FFFFFF"/>
        </w:rPr>
        <w:t>no. 5310/71 (</w:t>
      </w:r>
      <w:r w:rsidRPr="00AA68FF">
        <w:rPr>
          <w:rFonts w:eastAsia="Times New Roman" w:cs="Arial"/>
          <w:color w:val="000000"/>
          <w:shd w:val="clear" w:color="auto" w:fill="FFFFFF"/>
        </w:rPr>
        <w:t>1978</w:t>
      </w:r>
      <w:r w:rsidR="005A3233" w:rsidRPr="00AA68FF">
        <w:rPr>
          <w:rFonts w:eastAsia="Times New Roman" w:cs="Arial"/>
          <w:color w:val="000000"/>
          <w:shd w:val="clear" w:color="auto" w:fill="FFFFFF"/>
        </w:rPr>
        <w:t>)</w:t>
      </w:r>
    </w:p>
    <w:p w14:paraId="7F8EA991" w14:textId="77777777" w:rsidR="00277A12" w:rsidRPr="00AA68FF" w:rsidRDefault="00EE4F48" w:rsidP="005A3233">
      <w:pPr>
        <w:rPr>
          <w:rFonts w:eastAsia="Times New Roman" w:cs="Arial"/>
          <w:color w:val="000000"/>
          <w:shd w:val="clear" w:color="auto" w:fill="FFFFFF"/>
        </w:rPr>
      </w:pPr>
      <w:proofErr w:type="spellStart"/>
      <w:r w:rsidRPr="00AA68FF">
        <w:rPr>
          <w:rFonts w:eastAsia="Times New Roman" w:cs="Arial"/>
          <w:iCs/>
          <w:color w:val="000000"/>
          <w:shd w:val="clear" w:color="auto" w:fill="FFFFFF"/>
        </w:rPr>
        <w:t>Klass</w:t>
      </w:r>
      <w:proofErr w:type="spellEnd"/>
      <w:r w:rsidRPr="00AA68FF">
        <w:rPr>
          <w:rFonts w:eastAsia="Times New Roman" w:cs="Arial"/>
          <w:iCs/>
          <w:color w:val="000000"/>
          <w:shd w:val="clear" w:color="auto" w:fill="FFFFFF"/>
        </w:rPr>
        <w:t xml:space="preserve"> and Others v. Germany</w:t>
      </w:r>
      <w:r w:rsidRPr="00AA68FF">
        <w:rPr>
          <w:rFonts w:eastAsia="Times New Roman" w:cs="Arial"/>
          <w:color w:val="000000"/>
          <w:shd w:val="clear" w:color="auto" w:fill="FFFFFF"/>
        </w:rPr>
        <w:t xml:space="preserve">, </w:t>
      </w:r>
      <w:r w:rsidR="00277A12" w:rsidRPr="00AA68FF">
        <w:rPr>
          <w:rFonts w:eastAsia="Times New Roman" w:cs="Arial"/>
          <w:color w:val="000000"/>
          <w:shd w:val="clear" w:color="auto" w:fill="FFFFFF"/>
        </w:rPr>
        <w:t xml:space="preserve">App. </w:t>
      </w:r>
      <w:r w:rsidR="005A3233" w:rsidRPr="00AA68FF">
        <w:rPr>
          <w:rFonts w:eastAsia="Times New Roman" w:cs="Arial"/>
          <w:color w:val="000000"/>
          <w:shd w:val="clear" w:color="auto" w:fill="FFFFFF"/>
        </w:rPr>
        <w:t>no. 5029/71 (</w:t>
      </w:r>
      <w:r w:rsidRPr="00AA68FF">
        <w:rPr>
          <w:rFonts w:eastAsia="Times New Roman" w:cs="Arial"/>
          <w:color w:val="000000"/>
          <w:shd w:val="clear" w:color="auto" w:fill="FFFFFF"/>
        </w:rPr>
        <w:t>1978</w:t>
      </w:r>
      <w:r w:rsidR="005A3233" w:rsidRPr="00AA68FF">
        <w:rPr>
          <w:rFonts w:eastAsia="Times New Roman" w:cs="Arial"/>
          <w:color w:val="000000"/>
          <w:shd w:val="clear" w:color="auto" w:fill="FFFFFF"/>
        </w:rPr>
        <w:t>)</w:t>
      </w:r>
      <w:r w:rsidR="00277A12" w:rsidRPr="00AA68FF">
        <w:rPr>
          <w:rFonts w:eastAsia="Times New Roman" w:cs="Arial"/>
          <w:iCs/>
          <w:color w:val="000000"/>
          <w:shd w:val="clear" w:color="auto" w:fill="FFFFFF"/>
        </w:rPr>
        <w:t xml:space="preserve"> </w:t>
      </w:r>
    </w:p>
    <w:p w14:paraId="1F0C1145" w14:textId="77777777" w:rsidR="00EE4F48" w:rsidRPr="00AA68FF" w:rsidRDefault="00277A12" w:rsidP="00277A12">
      <w:pPr>
        <w:rPr>
          <w:rFonts w:eastAsia="Times New Roman" w:cs="Arial"/>
          <w:color w:val="000000"/>
          <w:shd w:val="clear" w:color="auto" w:fill="FFFFFF"/>
        </w:rPr>
      </w:pPr>
      <w:r w:rsidRPr="00AA68FF">
        <w:rPr>
          <w:rFonts w:eastAsia="Times New Roman" w:cs="Arial"/>
          <w:iCs/>
          <w:color w:val="000000"/>
          <w:shd w:val="clear" w:color="auto" w:fill="FFFFFF"/>
        </w:rPr>
        <w:t>Sunday Times v. the United Kingdom (no. 1)</w:t>
      </w:r>
      <w:r w:rsidRPr="00AA68FF">
        <w:rPr>
          <w:rFonts w:eastAsia="Times New Roman" w:cs="Arial"/>
          <w:color w:val="000000"/>
          <w:shd w:val="clear" w:color="auto" w:fill="FFFFFF"/>
        </w:rPr>
        <w:t>, App. no. 6538/74 (1979)</w:t>
      </w:r>
    </w:p>
    <w:p w14:paraId="2CFF45A1" w14:textId="77777777" w:rsidR="00EE4F48" w:rsidRPr="00AA68FF" w:rsidRDefault="00EE4F48" w:rsidP="00EE4F48">
      <w:pPr>
        <w:rPr>
          <w:rFonts w:eastAsia="Times New Roman" w:cs="Arial"/>
          <w:color w:val="000000"/>
          <w:shd w:val="clear" w:color="auto" w:fill="FFFFFF"/>
        </w:rPr>
      </w:pPr>
      <w:r w:rsidRPr="00AA68FF">
        <w:rPr>
          <w:rFonts w:eastAsia="Times New Roman" w:cs="Arial"/>
          <w:iCs/>
          <w:color w:val="000000"/>
          <w:shd w:val="clear" w:color="auto" w:fill="FFFFFF"/>
        </w:rPr>
        <w:t>Dudgeon v. the United Kingdom</w:t>
      </w:r>
      <w:r w:rsidRPr="00AA68FF">
        <w:rPr>
          <w:rFonts w:eastAsia="Times New Roman" w:cs="Arial"/>
          <w:color w:val="000000"/>
          <w:shd w:val="clear" w:color="auto" w:fill="FFFFFF"/>
        </w:rPr>
        <w:t xml:space="preserve">, </w:t>
      </w:r>
      <w:r w:rsidR="00277A12" w:rsidRPr="00AA68FF">
        <w:rPr>
          <w:rFonts w:eastAsia="Times New Roman" w:cs="Arial"/>
          <w:color w:val="000000"/>
          <w:shd w:val="clear" w:color="auto" w:fill="FFFFFF"/>
        </w:rPr>
        <w:t xml:space="preserve">App. </w:t>
      </w:r>
      <w:r w:rsidR="005A3233" w:rsidRPr="00AA68FF">
        <w:rPr>
          <w:rFonts w:eastAsia="Times New Roman" w:cs="Arial"/>
          <w:color w:val="000000"/>
          <w:shd w:val="clear" w:color="auto" w:fill="FFFFFF"/>
        </w:rPr>
        <w:t>no. 7525/76</w:t>
      </w:r>
      <w:r w:rsidRPr="00AA68FF">
        <w:rPr>
          <w:rFonts w:eastAsia="Times New Roman" w:cs="Arial"/>
          <w:color w:val="000000"/>
          <w:shd w:val="clear" w:color="auto" w:fill="FFFFFF"/>
        </w:rPr>
        <w:t xml:space="preserve"> </w:t>
      </w:r>
      <w:r w:rsidR="005A3233" w:rsidRPr="00AA68FF">
        <w:rPr>
          <w:rFonts w:eastAsia="Times New Roman" w:cs="Arial"/>
          <w:color w:val="000000"/>
          <w:shd w:val="clear" w:color="auto" w:fill="FFFFFF"/>
        </w:rPr>
        <w:t>(</w:t>
      </w:r>
      <w:r w:rsidRPr="00AA68FF">
        <w:rPr>
          <w:rFonts w:eastAsia="Times New Roman" w:cs="Arial"/>
          <w:color w:val="000000"/>
          <w:shd w:val="clear" w:color="auto" w:fill="FFFFFF"/>
        </w:rPr>
        <w:t>1981</w:t>
      </w:r>
      <w:r w:rsidR="005A3233" w:rsidRPr="00AA68FF">
        <w:rPr>
          <w:rFonts w:eastAsia="Times New Roman" w:cs="Arial"/>
          <w:color w:val="000000"/>
          <w:shd w:val="clear" w:color="auto" w:fill="FFFFFF"/>
        </w:rPr>
        <w:t>)</w:t>
      </w:r>
    </w:p>
    <w:p w14:paraId="581F08DB" w14:textId="77777777" w:rsidR="00277A12" w:rsidRPr="00AA68FF" w:rsidRDefault="00277A12" w:rsidP="00277A12">
      <w:pPr>
        <w:rPr>
          <w:rFonts w:eastAsia="Times New Roman" w:cs="Arial"/>
          <w:color w:val="000000"/>
          <w:shd w:val="clear" w:color="auto" w:fill="FFFFFF"/>
        </w:rPr>
      </w:pPr>
      <w:r w:rsidRPr="00AA68FF">
        <w:rPr>
          <w:rFonts w:eastAsia="Times New Roman" w:cs="Arial"/>
          <w:iCs/>
          <w:color w:val="000000"/>
          <w:shd w:val="clear" w:color="auto" w:fill="FFFFFF"/>
        </w:rPr>
        <w:t>Johnston and Others v. Ireland</w:t>
      </w:r>
      <w:r w:rsidRPr="00AA68FF">
        <w:rPr>
          <w:rFonts w:eastAsia="Times New Roman" w:cs="Arial"/>
          <w:color w:val="000000"/>
          <w:shd w:val="clear" w:color="auto" w:fill="FFFFFF"/>
        </w:rPr>
        <w:t>, App. no. 22520/93 (1986)</w:t>
      </w:r>
    </w:p>
    <w:p w14:paraId="39A38B75" w14:textId="77777777" w:rsidR="00EE4F48" w:rsidRPr="00AA68FF" w:rsidRDefault="00EE4F48" w:rsidP="005A3233">
      <w:pPr>
        <w:shd w:val="clear" w:color="auto" w:fill="FFFFFF"/>
        <w:rPr>
          <w:rStyle w:val="sb8d990e2"/>
          <w:rFonts w:eastAsia="Times New Roman" w:cs="Arial"/>
          <w:color w:val="000000"/>
        </w:rPr>
      </w:pPr>
      <w:r w:rsidRPr="00AA68FF">
        <w:rPr>
          <w:rStyle w:val="s6b621b36"/>
          <w:rFonts w:eastAsia="Times New Roman" w:cs="Arial"/>
          <w:iCs/>
          <w:color w:val="000000"/>
          <w:shd w:val="clear" w:color="auto" w:fill="FFFFFF"/>
        </w:rPr>
        <w:t>Norris v. Ireland</w:t>
      </w:r>
      <w:r w:rsidR="005A3233" w:rsidRPr="00AA68FF">
        <w:rPr>
          <w:rStyle w:val="s6b621b36"/>
          <w:rFonts w:eastAsia="Times New Roman" w:cs="Arial"/>
          <w:iCs/>
          <w:color w:val="000000"/>
          <w:shd w:val="clear" w:color="auto" w:fill="FFFFFF"/>
        </w:rPr>
        <w:t xml:space="preserve">, </w:t>
      </w:r>
      <w:r w:rsidR="00277A12" w:rsidRPr="00AA68FF">
        <w:rPr>
          <w:rStyle w:val="s6b621b36"/>
          <w:rFonts w:eastAsia="Times New Roman" w:cs="Arial"/>
          <w:iCs/>
          <w:color w:val="000000"/>
          <w:shd w:val="clear" w:color="auto" w:fill="FFFFFF"/>
        </w:rPr>
        <w:t xml:space="preserve">App. </w:t>
      </w:r>
      <w:r w:rsidR="005A3233" w:rsidRPr="00AA68FF">
        <w:rPr>
          <w:rStyle w:val="s6b621b36"/>
          <w:rFonts w:eastAsia="Times New Roman" w:cs="Arial"/>
          <w:iCs/>
          <w:color w:val="000000"/>
          <w:shd w:val="clear" w:color="auto" w:fill="FFFFFF"/>
        </w:rPr>
        <w:t xml:space="preserve">no. </w:t>
      </w:r>
      <w:r w:rsidR="005A3233" w:rsidRPr="00AA68FF">
        <w:rPr>
          <w:rStyle w:val="textcolumn"/>
          <w:rFonts w:eastAsia="Times New Roman" w:cs="Arial"/>
          <w:color w:val="000000"/>
        </w:rPr>
        <w:t>10581/83</w:t>
      </w:r>
      <w:r w:rsidR="005A3233" w:rsidRPr="00AA68FF">
        <w:rPr>
          <w:rStyle w:val="summarytext"/>
          <w:rFonts w:eastAsia="Times New Roman" w:cs="Arial"/>
          <w:color w:val="000000"/>
        </w:rPr>
        <w:t> </w:t>
      </w:r>
      <w:r w:rsidRPr="00AA68FF">
        <w:rPr>
          <w:rStyle w:val="sb8d990e2"/>
          <w:rFonts w:eastAsia="Times New Roman" w:cs="Arial"/>
          <w:color w:val="000000"/>
          <w:shd w:val="clear" w:color="auto" w:fill="FFFFFF"/>
        </w:rPr>
        <w:t>(1988</w:t>
      </w:r>
      <w:r w:rsidR="005A3233" w:rsidRPr="00AA68FF">
        <w:rPr>
          <w:rStyle w:val="sb8d990e2"/>
          <w:rFonts w:eastAsia="Times New Roman" w:cs="Arial"/>
          <w:color w:val="000000"/>
          <w:shd w:val="clear" w:color="auto" w:fill="FFFFFF"/>
        </w:rPr>
        <w:t>)</w:t>
      </w:r>
    </w:p>
    <w:p w14:paraId="5229CF6F" w14:textId="77777777" w:rsidR="00277A12" w:rsidRPr="00AA68FF" w:rsidRDefault="00277A12" w:rsidP="00277A12">
      <w:pPr>
        <w:rPr>
          <w:rFonts w:eastAsia="Times New Roman" w:cs="Arial"/>
          <w:color w:val="000000"/>
          <w:shd w:val="clear" w:color="auto" w:fill="FFFFFF"/>
        </w:rPr>
      </w:pPr>
      <w:r w:rsidRPr="00AA68FF">
        <w:rPr>
          <w:rFonts w:eastAsia="Times New Roman" w:cs="Arial"/>
          <w:iCs/>
          <w:color w:val="000000"/>
          <w:shd w:val="clear" w:color="auto" w:fill="FFFFFF"/>
        </w:rPr>
        <w:t>Open Door and Dublin Well Woman v. Ireland</w:t>
      </w:r>
      <w:r w:rsidRPr="00AA68FF">
        <w:rPr>
          <w:rFonts w:eastAsia="Times New Roman" w:cs="Arial"/>
          <w:color w:val="000000"/>
          <w:shd w:val="clear" w:color="auto" w:fill="FFFFFF"/>
        </w:rPr>
        <w:t>, App. nos. 14234/88, 14235/88 (1992)</w:t>
      </w:r>
    </w:p>
    <w:p w14:paraId="2907BD8D" w14:textId="77777777" w:rsidR="00277A12" w:rsidRPr="00AA68FF" w:rsidRDefault="00277A12" w:rsidP="00277A12">
      <w:pPr>
        <w:rPr>
          <w:rFonts w:eastAsia="Times New Roman" w:cs="Arial"/>
          <w:color w:val="000000"/>
          <w:shd w:val="clear" w:color="auto" w:fill="FFFFFF"/>
        </w:rPr>
      </w:pPr>
      <w:proofErr w:type="spellStart"/>
      <w:r w:rsidRPr="00AA68FF">
        <w:rPr>
          <w:rFonts w:eastAsia="Times New Roman" w:cs="Arial"/>
          <w:iCs/>
          <w:color w:val="000000"/>
          <w:shd w:val="clear" w:color="auto" w:fill="FFFFFF"/>
        </w:rPr>
        <w:t>Grigoriades</w:t>
      </w:r>
      <w:proofErr w:type="spellEnd"/>
      <w:r w:rsidRPr="00AA68FF">
        <w:rPr>
          <w:rFonts w:eastAsia="Times New Roman" w:cs="Arial"/>
          <w:iCs/>
          <w:color w:val="000000"/>
          <w:shd w:val="clear" w:color="auto" w:fill="FFFFFF"/>
        </w:rPr>
        <w:t xml:space="preserve"> v. Greece</w:t>
      </w:r>
      <w:r w:rsidRPr="00AA68FF">
        <w:rPr>
          <w:rFonts w:eastAsia="Times New Roman" w:cs="Arial"/>
          <w:color w:val="000000"/>
          <w:shd w:val="clear" w:color="auto" w:fill="FFFFFF"/>
        </w:rPr>
        <w:t>, App. no. 24348/94 (1997)</w:t>
      </w:r>
    </w:p>
    <w:p w14:paraId="28FF971A" w14:textId="77777777" w:rsidR="005A3233" w:rsidRPr="00AA68FF" w:rsidRDefault="00EE4F48" w:rsidP="005A3233">
      <w:pPr>
        <w:rPr>
          <w:rStyle w:val="sb8d990e2"/>
          <w:rFonts w:eastAsia="Times New Roman" w:cs="Arial"/>
          <w:color w:val="000000"/>
          <w:shd w:val="clear" w:color="auto" w:fill="FFFFFF"/>
        </w:rPr>
      </w:pPr>
      <w:r w:rsidRPr="00AA68FF">
        <w:rPr>
          <w:rStyle w:val="s6b621b36"/>
          <w:rFonts w:eastAsia="Times New Roman" w:cs="Arial"/>
          <w:iCs/>
          <w:color w:val="000000"/>
          <w:shd w:val="clear" w:color="auto" w:fill="FFFFFF"/>
        </w:rPr>
        <w:t>Bowman v. the United Kingdom</w:t>
      </w:r>
      <w:r w:rsidR="005A3233"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 xml:space="preserve">App. </w:t>
      </w:r>
      <w:r w:rsidRPr="00AA68FF">
        <w:rPr>
          <w:rStyle w:val="sb8d990e2"/>
          <w:rFonts w:eastAsia="Times New Roman" w:cs="Arial"/>
          <w:color w:val="000000"/>
          <w:shd w:val="clear" w:color="auto" w:fill="FFFFFF"/>
        </w:rPr>
        <w:t>no.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"{%22appno%22:[%2224839/94%22]}"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24839/94</w:t>
      </w:r>
      <w:r w:rsidRPr="00AA68FF">
        <w:rPr>
          <w:rStyle w:val="sb8d990e2"/>
          <w:rFonts w:eastAsia="Times New Roman" w:cs="Arial"/>
          <w:color w:val="000000"/>
          <w:shd w:val="clear" w:color="auto" w:fill="FFFFFF"/>
        </w:rPr>
        <w:fldChar w:fldCharType="end"/>
      </w:r>
      <w:r w:rsidR="005A3233" w:rsidRPr="00AA68FF">
        <w:rPr>
          <w:rStyle w:val="sb8d990e2"/>
          <w:rFonts w:eastAsia="Times New Roman" w:cs="Arial"/>
          <w:color w:val="000000"/>
          <w:shd w:val="clear" w:color="auto" w:fill="FFFFFF"/>
        </w:rPr>
        <w:t xml:space="preserve"> (1998)</w:t>
      </w:r>
    </w:p>
    <w:p w14:paraId="705481DB" w14:textId="77777777" w:rsidR="00277A12" w:rsidRPr="00AA68FF" w:rsidRDefault="00277A12" w:rsidP="00277A12">
      <w:pPr>
        <w:rPr>
          <w:rStyle w:val="sb8d990e2"/>
          <w:rFonts w:eastAsia="Times New Roman" w:cs="Arial"/>
          <w:color w:val="000000"/>
          <w:shd w:val="clear" w:color="auto" w:fill="FFFFFF"/>
        </w:rPr>
      </w:pPr>
      <w:r w:rsidRPr="00AA68FF">
        <w:rPr>
          <w:rStyle w:val="s6b621b36"/>
          <w:rFonts w:eastAsia="Times New Roman" w:cs="Arial"/>
          <w:iCs/>
          <w:color w:val="000000"/>
          <w:shd w:val="clear" w:color="auto" w:fill="FFFFFF"/>
        </w:rPr>
        <w:t xml:space="preserve">Association </w:t>
      </w:r>
      <w:proofErr w:type="spellStart"/>
      <w:r w:rsidRPr="00AA68FF">
        <w:rPr>
          <w:rStyle w:val="s6b621b36"/>
          <w:rFonts w:eastAsia="Times New Roman" w:cs="Arial"/>
          <w:iCs/>
          <w:color w:val="000000"/>
          <w:shd w:val="clear" w:color="auto" w:fill="FFFFFF"/>
        </w:rPr>
        <w:t>Ekin</w:t>
      </w:r>
      <w:proofErr w:type="spellEnd"/>
      <w:r w:rsidRPr="00AA68FF">
        <w:rPr>
          <w:rStyle w:val="s6b621b36"/>
          <w:rFonts w:eastAsia="Times New Roman" w:cs="Arial"/>
          <w:iCs/>
          <w:color w:val="000000"/>
          <w:shd w:val="clear" w:color="auto" w:fill="FFFFFF"/>
        </w:rPr>
        <w:t xml:space="preserve"> v. France</w:t>
      </w:r>
      <w:r w:rsidRPr="00AA68FF">
        <w:rPr>
          <w:rStyle w:val="sb8d990e2"/>
          <w:rFonts w:eastAsia="Times New Roman" w:cs="Arial"/>
          <w:color w:val="000000"/>
          <w:shd w:val="clear" w:color="auto" w:fill="FFFFFF"/>
        </w:rPr>
        <w:t> (</w:t>
      </w:r>
      <w:proofErr w:type="spellStart"/>
      <w:r w:rsidRPr="00AA68FF">
        <w:rPr>
          <w:rStyle w:val="sb8d990e2"/>
          <w:rFonts w:eastAsia="Times New Roman" w:cs="Arial"/>
          <w:color w:val="000000"/>
          <w:shd w:val="clear" w:color="auto" w:fill="FFFFFF"/>
        </w:rPr>
        <w:t>dec.</w:t>
      </w:r>
      <w:proofErr w:type="spellEnd"/>
      <w:r w:rsidRPr="00AA68FF">
        <w:rPr>
          <w:rStyle w:val="sb8d990e2"/>
          <w:rFonts w:eastAsia="Times New Roman" w:cs="Arial"/>
          <w:color w:val="000000"/>
          <w:shd w:val="clear" w:color="auto" w:fill="FFFFFF"/>
        </w:rPr>
        <w:t>), App. no.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"{%22appno%22:[%2239288/98%22]}"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39288/98</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xml:space="preserve"> (2000)</w:t>
      </w:r>
    </w:p>
    <w:p w14:paraId="75069E59" w14:textId="77777777" w:rsidR="00277A12" w:rsidRPr="00AA68FF" w:rsidRDefault="00277A12" w:rsidP="00277A12">
      <w:pPr>
        <w:rPr>
          <w:rStyle w:val="sb8d990e2"/>
          <w:rFonts w:eastAsia="Times New Roman" w:cs="Arial"/>
          <w:color w:val="000000"/>
          <w:shd w:val="clear" w:color="auto" w:fill="FFFFFF"/>
        </w:rPr>
      </w:pPr>
      <w:proofErr w:type="spellStart"/>
      <w:proofErr w:type="gramStart"/>
      <w:r w:rsidRPr="00AA68FF">
        <w:rPr>
          <w:rStyle w:val="s6b621b36"/>
          <w:rFonts w:eastAsia="Times New Roman" w:cs="Arial"/>
          <w:iCs/>
          <w:color w:val="000000"/>
          <w:shd w:val="clear" w:color="auto" w:fill="FFFFFF"/>
        </w:rPr>
        <w:t>Amann</w:t>
      </w:r>
      <w:proofErr w:type="spellEnd"/>
      <w:r w:rsidRPr="00AA68FF">
        <w:rPr>
          <w:rStyle w:val="s6b621b36"/>
          <w:rFonts w:eastAsia="Times New Roman" w:cs="Arial"/>
          <w:iCs/>
          <w:color w:val="000000"/>
          <w:shd w:val="clear" w:color="auto" w:fill="FFFFFF"/>
        </w:rPr>
        <w:t xml:space="preserve"> v. Switzerland</w:t>
      </w:r>
      <w:r w:rsidRPr="00AA68FF">
        <w:rPr>
          <w:rStyle w:val="sb8d990e2"/>
          <w:rFonts w:eastAsia="Times New Roman" w:cs="Arial"/>
          <w:color w:val="000000"/>
          <w:shd w:val="clear" w:color="auto" w:fill="FFFFFF"/>
        </w:rPr>
        <w:t> [GC], App. no.</w:t>
      </w:r>
      <w:proofErr w:type="gramEnd"/>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"{%22appno%22:[%2227798/95%22]}"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27798/95</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xml:space="preserve"> (2000)</w:t>
      </w:r>
    </w:p>
    <w:p w14:paraId="19F5BCD6" w14:textId="77777777" w:rsidR="005A3233" w:rsidRPr="00AA68FF" w:rsidRDefault="005A3233" w:rsidP="005A3233">
      <w:pPr>
        <w:rPr>
          <w:rStyle w:val="sb8d990e2"/>
          <w:rFonts w:eastAsia="Times New Roman" w:cs="Arial"/>
          <w:color w:val="000000"/>
          <w:shd w:val="clear" w:color="auto" w:fill="FFFFFF"/>
        </w:rPr>
      </w:pPr>
      <w:r w:rsidRPr="00AA68FF">
        <w:rPr>
          <w:rStyle w:val="s6b621b36"/>
          <w:rFonts w:eastAsia="Times New Roman" w:cs="Arial"/>
          <w:iCs/>
          <w:color w:val="000000"/>
          <w:shd w:val="clear" w:color="auto" w:fill="FFFFFF"/>
        </w:rPr>
        <w:t>Lombardo and Others v. Malta</w:t>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 xml:space="preserve">App. </w:t>
      </w:r>
      <w:r w:rsidRPr="00AA68FF">
        <w:rPr>
          <w:rStyle w:val="sb8d990e2"/>
          <w:rFonts w:eastAsia="Times New Roman" w:cs="Arial"/>
          <w:color w:val="000000"/>
          <w:shd w:val="clear" w:color="auto" w:fill="FFFFFF"/>
        </w:rPr>
        <w:t>no.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"{%22appno%22:[%227333/06%22]}"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7333/06</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xml:space="preserve"> (2007)</w:t>
      </w:r>
    </w:p>
    <w:p w14:paraId="035A2501" w14:textId="77777777" w:rsidR="005A3233" w:rsidRPr="00AA68FF" w:rsidRDefault="005A3233" w:rsidP="005A3233">
      <w:pPr>
        <w:rPr>
          <w:rFonts w:eastAsia="Times New Roman"/>
        </w:rPr>
      </w:pPr>
      <w:proofErr w:type="spellStart"/>
      <w:r w:rsidRPr="00AA68FF">
        <w:rPr>
          <w:rStyle w:val="s6b621b36"/>
          <w:rFonts w:eastAsia="Times New Roman" w:cs="Arial"/>
          <w:iCs/>
          <w:color w:val="000000"/>
          <w:shd w:val="clear" w:color="auto" w:fill="FFFFFF"/>
        </w:rPr>
        <w:t>Aktan</w:t>
      </w:r>
      <w:proofErr w:type="spellEnd"/>
      <w:r w:rsidRPr="00AA68FF">
        <w:rPr>
          <w:rStyle w:val="s6b621b36"/>
          <w:rFonts w:eastAsia="Times New Roman" w:cs="Arial"/>
          <w:iCs/>
          <w:color w:val="000000"/>
          <w:shd w:val="clear" w:color="auto" w:fill="FFFFFF"/>
        </w:rPr>
        <w:t xml:space="preserve"> v. Turkey</w:t>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 xml:space="preserve">App. </w:t>
      </w:r>
      <w:r w:rsidRPr="00AA68FF">
        <w:rPr>
          <w:rStyle w:val="sb8d990e2"/>
          <w:rFonts w:eastAsia="Times New Roman" w:cs="Arial"/>
          <w:color w:val="000000"/>
          <w:shd w:val="clear" w:color="auto" w:fill="FFFFFF"/>
        </w:rPr>
        <w:t>no.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"{%22appno%22:[%2220863/02%22]}"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20863/02</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w:t>
      </w:r>
      <w:r w:rsidRPr="00AA68FF">
        <w:rPr>
          <w:rStyle w:val="sb8d990e2"/>
          <w:rFonts w:eastAsia="Times New Roman" w:cs="Arial"/>
          <w:color w:val="000000"/>
          <w:shd w:val="clear" w:color="auto" w:fill="FFFFFF"/>
        </w:rPr>
        <w:t>2008)</w:t>
      </w:r>
    </w:p>
    <w:p w14:paraId="344A40E0" w14:textId="77777777" w:rsidR="005A3233" w:rsidRPr="00AA68FF" w:rsidRDefault="005A3233" w:rsidP="005A3233">
      <w:pPr>
        <w:rPr>
          <w:rStyle w:val="sb8d990e2"/>
          <w:rFonts w:eastAsia="Times New Roman" w:cs="Arial"/>
          <w:color w:val="000000"/>
          <w:shd w:val="clear" w:color="auto" w:fill="FFFFFF"/>
        </w:rPr>
      </w:pPr>
      <w:proofErr w:type="spellStart"/>
      <w:r w:rsidRPr="00AA68FF">
        <w:rPr>
          <w:rStyle w:val="s6b621b36"/>
          <w:rFonts w:eastAsia="Times New Roman" w:cs="Arial"/>
          <w:iCs/>
          <w:color w:val="000000"/>
          <w:shd w:val="clear" w:color="auto" w:fill="FFFFFF"/>
        </w:rPr>
        <w:t>Flinkkilä</w:t>
      </w:r>
      <w:proofErr w:type="spellEnd"/>
      <w:r w:rsidRPr="00AA68FF">
        <w:rPr>
          <w:rStyle w:val="s6b621b36"/>
          <w:rFonts w:eastAsia="Times New Roman" w:cs="Arial"/>
          <w:iCs/>
          <w:color w:val="000000"/>
          <w:shd w:val="clear" w:color="auto" w:fill="FFFFFF"/>
        </w:rPr>
        <w:t xml:space="preserve"> and Others v. Finland</w:t>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 xml:space="preserve">App. </w:t>
      </w:r>
      <w:r w:rsidRPr="00AA68FF">
        <w:rPr>
          <w:rStyle w:val="sb8d990e2"/>
          <w:rFonts w:eastAsia="Times New Roman" w:cs="Arial"/>
          <w:color w:val="000000"/>
          <w:shd w:val="clear" w:color="auto" w:fill="FFFFFF"/>
        </w:rPr>
        <w:t>no.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"{%22appno%22:[%2225576/04%22]}"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25576/04</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w:t>
      </w:r>
      <w:r w:rsidRPr="00AA68FF">
        <w:rPr>
          <w:rStyle w:val="sb8d990e2"/>
          <w:rFonts w:eastAsia="Times New Roman" w:cs="Arial"/>
          <w:color w:val="000000"/>
          <w:shd w:val="clear" w:color="auto" w:fill="FFFFFF"/>
        </w:rPr>
        <w:t>2010)</w:t>
      </w:r>
    </w:p>
    <w:p w14:paraId="1FA79CFB" w14:textId="77777777" w:rsidR="005A3233" w:rsidRPr="00AA68FF" w:rsidRDefault="005A3233" w:rsidP="005A3233">
      <w:pPr>
        <w:rPr>
          <w:rFonts w:eastAsia="Times New Roman"/>
        </w:rPr>
      </w:pPr>
      <w:r w:rsidRPr="00AA68FF">
        <w:rPr>
          <w:rStyle w:val="sb8d990e2"/>
          <w:rFonts w:eastAsia="Times New Roman" w:cs="Arial"/>
          <w:color w:val="000000"/>
          <w:shd w:val="clear" w:color="auto" w:fill="FFFFFF"/>
        </w:rPr>
        <w:t> </w:t>
      </w:r>
      <w:proofErr w:type="spellStart"/>
      <w:r w:rsidRPr="00AA68FF">
        <w:rPr>
          <w:rStyle w:val="s6b621b36"/>
          <w:rFonts w:eastAsia="Times New Roman" w:cs="Arial"/>
          <w:iCs/>
          <w:color w:val="000000"/>
          <w:shd w:val="clear" w:color="auto" w:fill="FFFFFF"/>
        </w:rPr>
        <w:t>Vajnai</w:t>
      </w:r>
      <w:proofErr w:type="spellEnd"/>
      <w:r w:rsidRPr="00AA68FF">
        <w:rPr>
          <w:rStyle w:val="s6b621b36"/>
          <w:rFonts w:eastAsia="Times New Roman" w:cs="Arial"/>
          <w:iCs/>
          <w:color w:val="000000"/>
          <w:shd w:val="clear" w:color="auto" w:fill="FFFFFF"/>
        </w:rPr>
        <w:t xml:space="preserve"> v. Hungary</w:t>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 xml:space="preserve">App. </w:t>
      </w:r>
      <w:r w:rsidRPr="00AA68FF">
        <w:rPr>
          <w:rStyle w:val="sb8d990e2"/>
          <w:rFonts w:eastAsia="Times New Roman" w:cs="Arial"/>
          <w:color w:val="000000"/>
          <w:shd w:val="clear" w:color="auto" w:fill="FFFFFF"/>
        </w:rPr>
        <w:t>no.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"{%22appno%22:[%2233629/06%22]}"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33629/06</w:t>
      </w:r>
      <w:r w:rsidRPr="00AA68FF">
        <w:rPr>
          <w:rStyle w:val="sb8d990e2"/>
          <w:rFonts w:eastAsia="Times New Roman" w:cs="Arial"/>
          <w:color w:val="000000"/>
          <w:shd w:val="clear" w:color="auto" w:fill="FFFFFF"/>
        </w:rPr>
        <w:fldChar w:fldCharType="end"/>
      </w:r>
      <w:r w:rsidR="00277A12" w:rsidRPr="00AA68FF">
        <w:rPr>
          <w:rStyle w:val="sb8d990e2"/>
          <w:rFonts w:eastAsia="Times New Roman" w:cs="Arial"/>
          <w:color w:val="000000"/>
          <w:shd w:val="clear" w:color="auto" w:fill="FFFFFF"/>
        </w:rPr>
        <w:t xml:space="preserve"> (</w:t>
      </w:r>
      <w:r w:rsidRPr="00AA68FF">
        <w:rPr>
          <w:rStyle w:val="sb8d990e2"/>
          <w:rFonts w:eastAsia="Times New Roman" w:cs="Arial"/>
          <w:color w:val="000000"/>
          <w:shd w:val="clear" w:color="auto" w:fill="FFFFFF"/>
        </w:rPr>
        <w:t>2008</w:t>
      </w:r>
      <w:r w:rsidR="00277A12" w:rsidRPr="00AA68FF">
        <w:rPr>
          <w:rStyle w:val="sb8d990e2"/>
          <w:rFonts w:eastAsia="Times New Roman" w:cs="Arial"/>
          <w:color w:val="000000"/>
          <w:shd w:val="clear" w:color="auto" w:fill="FFFFFF"/>
        </w:rPr>
        <w:t>)</w:t>
      </w:r>
    </w:p>
    <w:p w14:paraId="7C3E0739" w14:textId="77777777" w:rsidR="00EE4F48" w:rsidRPr="00AA68FF" w:rsidRDefault="005A3233" w:rsidP="00277A12">
      <w:pPr>
        <w:rPr>
          <w:rStyle w:val="sb8d990e2"/>
          <w:rFonts w:eastAsia="Times New Roman" w:cs="Arial"/>
          <w:color w:val="000000"/>
          <w:shd w:val="clear" w:color="auto" w:fill="FFFFFF"/>
        </w:rPr>
      </w:pPr>
      <w:r w:rsidRPr="00AA68FF">
        <w:rPr>
          <w:rStyle w:val="s6b621b36"/>
          <w:rFonts w:eastAsia="Times New Roman" w:cs="Arial"/>
          <w:iCs/>
          <w:color w:val="000000"/>
          <w:shd w:val="clear" w:color="auto" w:fill="FFFFFF"/>
        </w:rPr>
        <w:t>Dink v. Turkey</w:t>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 xml:space="preserve">App. </w:t>
      </w:r>
      <w:r w:rsidRPr="00AA68FF">
        <w:rPr>
          <w:rStyle w:val="sb8d990e2"/>
          <w:rFonts w:eastAsia="Times New Roman" w:cs="Arial"/>
          <w:color w:val="000000"/>
          <w:shd w:val="clear" w:color="auto" w:fill="FFFFFF"/>
        </w:rPr>
        <w:t>nos.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"{%22appno%22:[%222668/07%22]}"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2668/07</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"{%22appno%22:[%226102/08%22]}"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6102/08</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"{%22appno%22:[%2230079/08%22]}"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30079/08</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"{%22appno%22:[%227072/09%22]}"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7072/09</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and </w:t>
      </w:r>
      <w:r w:rsidRPr="00AA68FF">
        <w:rPr>
          <w:rStyle w:val="sb8d990e2"/>
          <w:rFonts w:eastAsia="Times New Roman" w:cs="Arial"/>
          <w:color w:val="000000"/>
          <w:shd w:val="clear" w:color="auto" w:fill="FFFFFF"/>
        </w:rPr>
        <w:fldChar w:fldCharType="begin"/>
      </w:r>
      <w:r w:rsidRPr="00AA68FF">
        <w:rPr>
          <w:rStyle w:val="sb8d990e2"/>
          <w:rFonts w:eastAsia="Times New Roman" w:cs="Arial"/>
          <w:color w:val="000000"/>
          <w:shd w:val="clear" w:color="auto" w:fill="FFFFFF"/>
        </w:rPr>
        <w:instrText xml:space="preserve"> HYPERLINK "https://hudoc.echr.coe.int/eng" \l "{%22appno%22:[%227124/09%22]}" \t "_blank" </w:instrText>
      </w:r>
      <w:r w:rsidRPr="00AA68FF">
        <w:rPr>
          <w:rStyle w:val="sb8d990e2"/>
          <w:rFonts w:eastAsia="Times New Roman" w:cs="Arial"/>
          <w:color w:val="000000"/>
          <w:shd w:val="clear" w:color="auto" w:fill="FFFFFF"/>
        </w:rPr>
        <w:fldChar w:fldCharType="separate"/>
      </w:r>
      <w:r w:rsidRPr="00AA68FF">
        <w:rPr>
          <w:rStyle w:val="Hyperlink"/>
          <w:rFonts w:eastAsia="Times New Roman" w:cs="Arial"/>
          <w:color w:val="0069D6"/>
        </w:rPr>
        <w:t>7124/09</w:t>
      </w:r>
      <w:r w:rsidRPr="00AA68FF">
        <w:rPr>
          <w:rStyle w:val="sb8d990e2"/>
          <w:rFonts w:eastAsia="Times New Roman" w:cs="Arial"/>
          <w:color w:val="000000"/>
          <w:shd w:val="clear" w:color="auto" w:fill="FFFFFF"/>
        </w:rPr>
        <w:fldChar w:fldCharType="end"/>
      </w:r>
      <w:r w:rsidRPr="00AA68FF">
        <w:rPr>
          <w:rStyle w:val="sb8d990e2"/>
          <w:rFonts w:eastAsia="Times New Roman" w:cs="Arial"/>
          <w:color w:val="000000"/>
          <w:shd w:val="clear" w:color="auto" w:fill="FFFFFF"/>
        </w:rPr>
        <w:t xml:space="preserve"> </w:t>
      </w:r>
      <w:r w:rsidR="00277A12" w:rsidRPr="00AA68FF">
        <w:rPr>
          <w:rStyle w:val="sb8d990e2"/>
          <w:rFonts w:eastAsia="Times New Roman" w:cs="Arial"/>
          <w:color w:val="000000"/>
          <w:shd w:val="clear" w:color="auto" w:fill="FFFFFF"/>
        </w:rPr>
        <w:t>(</w:t>
      </w:r>
      <w:r w:rsidRPr="00AA68FF">
        <w:rPr>
          <w:rStyle w:val="sb8d990e2"/>
          <w:rFonts w:eastAsia="Times New Roman" w:cs="Arial"/>
          <w:color w:val="000000"/>
          <w:shd w:val="clear" w:color="auto" w:fill="FFFFFF"/>
        </w:rPr>
        <w:t>2010</w:t>
      </w:r>
      <w:r w:rsidR="00277A12" w:rsidRPr="00AA68FF">
        <w:rPr>
          <w:rStyle w:val="sb8d990e2"/>
          <w:rFonts w:eastAsia="Times New Roman" w:cs="Arial"/>
          <w:color w:val="000000"/>
          <w:shd w:val="clear" w:color="auto" w:fill="FFFFFF"/>
        </w:rPr>
        <w:t>)</w:t>
      </w:r>
    </w:p>
    <w:p w14:paraId="72A7FED4" w14:textId="77777777" w:rsidR="00277A12" w:rsidRPr="00AA68FF" w:rsidRDefault="00277A12" w:rsidP="00277A12">
      <w:pPr>
        <w:rPr>
          <w:rFonts w:eastAsia="Times New Roman"/>
        </w:rPr>
      </w:pPr>
    </w:p>
    <w:p w14:paraId="31E8053A" w14:textId="77777777" w:rsidR="001C3CA6" w:rsidRPr="00AA68FF" w:rsidRDefault="001C3CA6" w:rsidP="0040713C">
      <w:pPr>
        <w:jc w:val="both"/>
        <w:rPr>
          <w:b/>
          <w:lang w:val="en-GB"/>
        </w:rPr>
      </w:pPr>
    </w:p>
    <w:p w14:paraId="2D1D3F70" w14:textId="77777777" w:rsidR="001C3CA6" w:rsidRPr="00AA68FF" w:rsidRDefault="001C3CA6" w:rsidP="0040713C">
      <w:pPr>
        <w:jc w:val="both"/>
        <w:rPr>
          <w:rFonts w:eastAsia="Times New Roman" w:cs="Times New Roman"/>
          <w:b/>
          <w:color w:val="000000"/>
          <w:shd w:val="clear" w:color="auto" w:fill="FFFFFF"/>
          <w:lang w:val="en-GB"/>
        </w:rPr>
      </w:pPr>
      <w:r w:rsidRPr="00AA68FF">
        <w:rPr>
          <w:rFonts w:eastAsia="Times New Roman" w:cs="Times New Roman"/>
          <w:b/>
          <w:color w:val="000000"/>
          <w:shd w:val="clear" w:color="auto" w:fill="FFFFFF"/>
          <w:lang w:val="en-GB"/>
        </w:rPr>
        <w:t>5.  Expands expression</w:t>
      </w:r>
    </w:p>
    <w:p w14:paraId="56177C76" w14:textId="77777777" w:rsidR="001C3CA6" w:rsidRPr="00AA68FF" w:rsidRDefault="001C3CA6" w:rsidP="0040713C">
      <w:pPr>
        <w:jc w:val="both"/>
        <w:rPr>
          <w:b/>
          <w:lang w:val="en-GB"/>
        </w:rPr>
      </w:pPr>
    </w:p>
    <w:p w14:paraId="5E0E8D5D" w14:textId="77777777" w:rsidR="00B43610" w:rsidRPr="00AA68FF" w:rsidRDefault="00AF176E" w:rsidP="0040713C">
      <w:pPr>
        <w:jc w:val="both"/>
        <w:rPr>
          <w:b/>
        </w:rPr>
      </w:pPr>
      <w:r w:rsidRPr="00AA68FF">
        <w:t>This case ultimately expands freed</w:t>
      </w:r>
      <w:r w:rsidR="00AA68FF">
        <w:t>om of expression since it denies</w:t>
      </w:r>
      <w:r w:rsidRPr="00AA68FF">
        <w:t xml:space="preserve"> </w:t>
      </w:r>
      <w:r w:rsidR="00AA68FF" w:rsidRPr="00AA68FF">
        <w:t>“</w:t>
      </w:r>
      <w:r w:rsidRPr="00AA68FF">
        <w:t>quality of law</w:t>
      </w:r>
      <w:r w:rsidR="00AA68FF" w:rsidRPr="00AA68FF">
        <w:t>”</w:t>
      </w:r>
      <w:r w:rsidRPr="00AA68FF">
        <w:t xml:space="preserve"> in the meaning of the Convention of a c</w:t>
      </w:r>
      <w:r w:rsidR="00AA68FF">
        <w:t>riminal provision that contains</w:t>
      </w:r>
      <w:r w:rsidRPr="00AA68FF">
        <w:t xml:space="preserve"> dangerously vague and wide </w:t>
      </w:r>
      <w:r w:rsidR="00325AD2" w:rsidRPr="00AA68FF">
        <w:t>notions, which</w:t>
      </w:r>
      <w:r w:rsidRPr="00AA68FF">
        <w:t xml:space="preserve"> preclude </w:t>
      </w:r>
      <w:r w:rsidR="00325AD2" w:rsidRPr="00AA68FF">
        <w:t>foreseeing</w:t>
      </w:r>
      <w:r w:rsidR="00AA68FF" w:rsidRPr="00AA68FF">
        <w:t xml:space="preserve"> the impact of the provision</w:t>
      </w:r>
      <w:r w:rsidRPr="00AA68FF">
        <w:t xml:space="preserve"> </w:t>
      </w:r>
      <w:r w:rsidR="00325AD2" w:rsidRPr="00AA68FF">
        <w:t>to a sufficient degree</w:t>
      </w:r>
      <w:r w:rsidRPr="00AA68FF">
        <w:t xml:space="preserve">. The case is also remarkable </w:t>
      </w:r>
      <w:r w:rsidR="00AA68FF">
        <w:t>since it admits</w:t>
      </w:r>
      <w:r w:rsidR="00325AD2" w:rsidRPr="00AA68FF">
        <w:t xml:space="preserve"> the victim status of the applicant in the absence of any individual incriminating measure, due to the continuous threat of being subject to prosecution under the impugned Article. </w:t>
      </w:r>
    </w:p>
    <w:sectPr w:rsidR="00B43610" w:rsidRPr="00AA68FF"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A6"/>
    <w:rsid w:val="00133F01"/>
    <w:rsid w:val="001C3CA6"/>
    <w:rsid w:val="00270051"/>
    <w:rsid w:val="00277A12"/>
    <w:rsid w:val="00325AD2"/>
    <w:rsid w:val="00334CC7"/>
    <w:rsid w:val="003D3404"/>
    <w:rsid w:val="003D7058"/>
    <w:rsid w:val="0040713C"/>
    <w:rsid w:val="00472E44"/>
    <w:rsid w:val="004D50CA"/>
    <w:rsid w:val="00581537"/>
    <w:rsid w:val="00583029"/>
    <w:rsid w:val="005A3233"/>
    <w:rsid w:val="005B6979"/>
    <w:rsid w:val="00666986"/>
    <w:rsid w:val="00670727"/>
    <w:rsid w:val="00686149"/>
    <w:rsid w:val="006C0373"/>
    <w:rsid w:val="0072374C"/>
    <w:rsid w:val="007F353D"/>
    <w:rsid w:val="00816549"/>
    <w:rsid w:val="008B37E4"/>
    <w:rsid w:val="0095573D"/>
    <w:rsid w:val="00AA68FF"/>
    <w:rsid w:val="00AF176E"/>
    <w:rsid w:val="00AF2B7A"/>
    <w:rsid w:val="00B43610"/>
    <w:rsid w:val="00DE542C"/>
    <w:rsid w:val="00EE4F48"/>
    <w:rsid w:val="00F06511"/>
    <w:rsid w:val="00F70604"/>
    <w:rsid w:val="00F70B0D"/>
    <w:rsid w:val="00F7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276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A6"/>
    <w:rPr>
      <w:color w:val="0000FF" w:themeColor="hyperlink"/>
      <w:u w:val="single"/>
    </w:rPr>
  </w:style>
  <w:style w:type="character" w:customStyle="1" w:styleId="s6b621b36">
    <w:name w:val="s6b621b36"/>
    <w:basedOn w:val="DefaultParagraphFont"/>
    <w:rsid w:val="00EE4F48"/>
  </w:style>
  <w:style w:type="character" w:customStyle="1" w:styleId="sb8d990e2">
    <w:name w:val="sb8d990e2"/>
    <w:basedOn w:val="DefaultParagraphFont"/>
    <w:rsid w:val="00EE4F48"/>
  </w:style>
  <w:style w:type="character" w:customStyle="1" w:styleId="textcolumn">
    <w:name w:val="textcolumn"/>
    <w:basedOn w:val="DefaultParagraphFont"/>
    <w:rsid w:val="005A3233"/>
  </w:style>
  <w:style w:type="character" w:customStyle="1" w:styleId="summarytext">
    <w:name w:val="summarytext"/>
    <w:basedOn w:val="DefaultParagraphFont"/>
    <w:rsid w:val="005A32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CA6"/>
    <w:rPr>
      <w:color w:val="0000FF" w:themeColor="hyperlink"/>
      <w:u w:val="single"/>
    </w:rPr>
  </w:style>
  <w:style w:type="character" w:customStyle="1" w:styleId="s6b621b36">
    <w:name w:val="s6b621b36"/>
    <w:basedOn w:val="DefaultParagraphFont"/>
    <w:rsid w:val="00EE4F48"/>
  </w:style>
  <w:style w:type="character" w:customStyle="1" w:styleId="sb8d990e2">
    <w:name w:val="sb8d990e2"/>
    <w:basedOn w:val="DefaultParagraphFont"/>
    <w:rsid w:val="00EE4F48"/>
  </w:style>
  <w:style w:type="character" w:customStyle="1" w:styleId="textcolumn">
    <w:name w:val="textcolumn"/>
    <w:basedOn w:val="DefaultParagraphFont"/>
    <w:rsid w:val="005A3233"/>
  </w:style>
  <w:style w:type="character" w:customStyle="1" w:styleId="summarytext">
    <w:name w:val="summarytext"/>
    <w:basedOn w:val="DefaultParagraphFont"/>
    <w:rsid w:val="005A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192">
      <w:bodyDiv w:val="1"/>
      <w:marLeft w:val="0"/>
      <w:marRight w:val="0"/>
      <w:marTop w:val="0"/>
      <w:marBottom w:val="0"/>
      <w:divBdr>
        <w:top w:val="none" w:sz="0" w:space="0" w:color="auto"/>
        <w:left w:val="none" w:sz="0" w:space="0" w:color="auto"/>
        <w:bottom w:val="none" w:sz="0" w:space="0" w:color="auto"/>
        <w:right w:val="none" w:sz="0" w:space="0" w:color="auto"/>
      </w:divBdr>
    </w:div>
    <w:div w:id="27032553">
      <w:bodyDiv w:val="1"/>
      <w:marLeft w:val="0"/>
      <w:marRight w:val="0"/>
      <w:marTop w:val="0"/>
      <w:marBottom w:val="0"/>
      <w:divBdr>
        <w:top w:val="none" w:sz="0" w:space="0" w:color="auto"/>
        <w:left w:val="none" w:sz="0" w:space="0" w:color="auto"/>
        <w:bottom w:val="none" w:sz="0" w:space="0" w:color="auto"/>
        <w:right w:val="none" w:sz="0" w:space="0" w:color="auto"/>
      </w:divBdr>
    </w:div>
    <w:div w:id="56901027">
      <w:bodyDiv w:val="1"/>
      <w:marLeft w:val="0"/>
      <w:marRight w:val="0"/>
      <w:marTop w:val="0"/>
      <w:marBottom w:val="0"/>
      <w:divBdr>
        <w:top w:val="none" w:sz="0" w:space="0" w:color="auto"/>
        <w:left w:val="none" w:sz="0" w:space="0" w:color="auto"/>
        <w:bottom w:val="none" w:sz="0" w:space="0" w:color="auto"/>
        <w:right w:val="none" w:sz="0" w:space="0" w:color="auto"/>
      </w:divBdr>
    </w:div>
    <w:div w:id="77141837">
      <w:bodyDiv w:val="1"/>
      <w:marLeft w:val="0"/>
      <w:marRight w:val="0"/>
      <w:marTop w:val="0"/>
      <w:marBottom w:val="0"/>
      <w:divBdr>
        <w:top w:val="none" w:sz="0" w:space="0" w:color="auto"/>
        <w:left w:val="none" w:sz="0" w:space="0" w:color="auto"/>
        <w:bottom w:val="none" w:sz="0" w:space="0" w:color="auto"/>
        <w:right w:val="none" w:sz="0" w:space="0" w:color="auto"/>
      </w:divBdr>
    </w:div>
    <w:div w:id="78332636">
      <w:bodyDiv w:val="1"/>
      <w:marLeft w:val="0"/>
      <w:marRight w:val="0"/>
      <w:marTop w:val="0"/>
      <w:marBottom w:val="0"/>
      <w:divBdr>
        <w:top w:val="none" w:sz="0" w:space="0" w:color="auto"/>
        <w:left w:val="none" w:sz="0" w:space="0" w:color="auto"/>
        <w:bottom w:val="none" w:sz="0" w:space="0" w:color="auto"/>
        <w:right w:val="none" w:sz="0" w:space="0" w:color="auto"/>
      </w:divBdr>
    </w:div>
    <w:div w:id="124978851">
      <w:bodyDiv w:val="1"/>
      <w:marLeft w:val="0"/>
      <w:marRight w:val="0"/>
      <w:marTop w:val="0"/>
      <w:marBottom w:val="0"/>
      <w:divBdr>
        <w:top w:val="none" w:sz="0" w:space="0" w:color="auto"/>
        <w:left w:val="none" w:sz="0" w:space="0" w:color="auto"/>
        <w:bottom w:val="none" w:sz="0" w:space="0" w:color="auto"/>
        <w:right w:val="none" w:sz="0" w:space="0" w:color="auto"/>
      </w:divBdr>
    </w:div>
    <w:div w:id="157229115">
      <w:bodyDiv w:val="1"/>
      <w:marLeft w:val="0"/>
      <w:marRight w:val="0"/>
      <w:marTop w:val="0"/>
      <w:marBottom w:val="0"/>
      <w:divBdr>
        <w:top w:val="none" w:sz="0" w:space="0" w:color="auto"/>
        <w:left w:val="none" w:sz="0" w:space="0" w:color="auto"/>
        <w:bottom w:val="none" w:sz="0" w:space="0" w:color="auto"/>
        <w:right w:val="none" w:sz="0" w:space="0" w:color="auto"/>
      </w:divBdr>
    </w:div>
    <w:div w:id="179585766">
      <w:bodyDiv w:val="1"/>
      <w:marLeft w:val="0"/>
      <w:marRight w:val="0"/>
      <w:marTop w:val="0"/>
      <w:marBottom w:val="0"/>
      <w:divBdr>
        <w:top w:val="none" w:sz="0" w:space="0" w:color="auto"/>
        <w:left w:val="none" w:sz="0" w:space="0" w:color="auto"/>
        <w:bottom w:val="none" w:sz="0" w:space="0" w:color="auto"/>
        <w:right w:val="none" w:sz="0" w:space="0" w:color="auto"/>
      </w:divBdr>
    </w:div>
    <w:div w:id="229078483">
      <w:bodyDiv w:val="1"/>
      <w:marLeft w:val="0"/>
      <w:marRight w:val="0"/>
      <w:marTop w:val="0"/>
      <w:marBottom w:val="0"/>
      <w:divBdr>
        <w:top w:val="none" w:sz="0" w:space="0" w:color="auto"/>
        <w:left w:val="none" w:sz="0" w:space="0" w:color="auto"/>
        <w:bottom w:val="none" w:sz="0" w:space="0" w:color="auto"/>
        <w:right w:val="none" w:sz="0" w:space="0" w:color="auto"/>
      </w:divBdr>
      <w:divsChild>
        <w:div w:id="960188630">
          <w:marLeft w:val="0"/>
          <w:marRight w:val="0"/>
          <w:marTop w:val="0"/>
          <w:marBottom w:val="0"/>
          <w:divBdr>
            <w:top w:val="none" w:sz="0" w:space="0" w:color="auto"/>
            <w:left w:val="none" w:sz="0" w:space="0" w:color="auto"/>
            <w:bottom w:val="single" w:sz="6" w:space="0" w:color="D3D3D3"/>
            <w:right w:val="none" w:sz="0" w:space="0" w:color="auto"/>
          </w:divBdr>
          <w:divsChild>
            <w:div w:id="2107071759">
              <w:marLeft w:val="0"/>
              <w:marRight w:val="0"/>
              <w:marTop w:val="0"/>
              <w:marBottom w:val="0"/>
              <w:divBdr>
                <w:top w:val="none" w:sz="0" w:space="0" w:color="auto"/>
                <w:left w:val="none" w:sz="0" w:space="0" w:color="auto"/>
                <w:bottom w:val="none" w:sz="0" w:space="0" w:color="auto"/>
                <w:right w:val="none" w:sz="0" w:space="0" w:color="auto"/>
              </w:divBdr>
            </w:div>
          </w:divsChild>
        </w:div>
        <w:div w:id="1367682251">
          <w:marLeft w:val="0"/>
          <w:marRight w:val="0"/>
          <w:marTop w:val="0"/>
          <w:marBottom w:val="0"/>
          <w:divBdr>
            <w:top w:val="none" w:sz="0" w:space="0" w:color="auto"/>
            <w:left w:val="none" w:sz="0" w:space="0" w:color="auto"/>
            <w:bottom w:val="none" w:sz="0" w:space="0" w:color="auto"/>
            <w:right w:val="none" w:sz="0" w:space="0" w:color="auto"/>
          </w:divBdr>
        </w:div>
      </w:divsChild>
    </w:div>
    <w:div w:id="240796839">
      <w:bodyDiv w:val="1"/>
      <w:marLeft w:val="0"/>
      <w:marRight w:val="0"/>
      <w:marTop w:val="0"/>
      <w:marBottom w:val="0"/>
      <w:divBdr>
        <w:top w:val="none" w:sz="0" w:space="0" w:color="auto"/>
        <w:left w:val="none" w:sz="0" w:space="0" w:color="auto"/>
        <w:bottom w:val="none" w:sz="0" w:space="0" w:color="auto"/>
        <w:right w:val="none" w:sz="0" w:space="0" w:color="auto"/>
      </w:divBdr>
    </w:div>
    <w:div w:id="308167614">
      <w:bodyDiv w:val="1"/>
      <w:marLeft w:val="0"/>
      <w:marRight w:val="0"/>
      <w:marTop w:val="0"/>
      <w:marBottom w:val="0"/>
      <w:divBdr>
        <w:top w:val="none" w:sz="0" w:space="0" w:color="auto"/>
        <w:left w:val="none" w:sz="0" w:space="0" w:color="auto"/>
        <w:bottom w:val="none" w:sz="0" w:space="0" w:color="auto"/>
        <w:right w:val="none" w:sz="0" w:space="0" w:color="auto"/>
      </w:divBdr>
    </w:div>
    <w:div w:id="326714537">
      <w:bodyDiv w:val="1"/>
      <w:marLeft w:val="0"/>
      <w:marRight w:val="0"/>
      <w:marTop w:val="0"/>
      <w:marBottom w:val="0"/>
      <w:divBdr>
        <w:top w:val="none" w:sz="0" w:space="0" w:color="auto"/>
        <w:left w:val="none" w:sz="0" w:space="0" w:color="auto"/>
        <w:bottom w:val="none" w:sz="0" w:space="0" w:color="auto"/>
        <w:right w:val="none" w:sz="0" w:space="0" w:color="auto"/>
      </w:divBdr>
    </w:div>
    <w:div w:id="353267741">
      <w:bodyDiv w:val="1"/>
      <w:marLeft w:val="0"/>
      <w:marRight w:val="0"/>
      <w:marTop w:val="0"/>
      <w:marBottom w:val="0"/>
      <w:divBdr>
        <w:top w:val="none" w:sz="0" w:space="0" w:color="auto"/>
        <w:left w:val="none" w:sz="0" w:space="0" w:color="auto"/>
        <w:bottom w:val="none" w:sz="0" w:space="0" w:color="auto"/>
        <w:right w:val="none" w:sz="0" w:space="0" w:color="auto"/>
      </w:divBdr>
    </w:div>
    <w:div w:id="373818649">
      <w:bodyDiv w:val="1"/>
      <w:marLeft w:val="0"/>
      <w:marRight w:val="0"/>
      <w:marTop w:val="0"/>
      <w:marBottom w:val="0"/>
      <w:divBdr>
        <w:top w:val="none" w:sz="0" w:space="0" w:color="auto"/>
        <w:left w:val="none" w:sz="0" w:space="0" w:color="auto"/>
        <w:bottom w:val="none" w:sz="0" w:space="0" w:color="auto"/>
        <w:right w:val="none" w:sz="0" w:space="0" w:color="auto"/>
      </w:divBdr>
    </w:div>
    <w:div w:id="394159708">
      <w:bodyDiv w:val="1"/>
      <w:marLeft w:val="0"/>
      <w:marRight w:val="0"/>
      <w:marTop w:val="0"/>
      <w:marBottom w:val="0"/>
      <w:divBdr>
        <w:top w:val="none" w:sz="0" w:space="0" w:color="auto"/>
        <w:left w:val="none" w:sz="0" w:space="0" w:color="auto"/>
        <w:bottom w:val="none" w:sz="0" w:space="0" w:color="auto"/>
        <w:right w:val="none" w:sz="0" w:space="0" w:color="auto"/>
      </w:divBdr>
      <w:divsChild>
        <w:div w:id="1549220199">
          <w:marLeft w:val="0"/>
          <w:marRight w:val="0"/>
          <w:marTop w:val="0"/>
          <w:marBottom w:val="0"/>
          <w:divBdr>
            <w:top w:val="none" w:sz="0" w:space="0" w:color="auto"/>
            <w:left w:val="none" w:sz="0" w:space="0" w:color="auto"/>
            <w:bottom w:val="single" w:sz="6" w:space="0" w:color="D3D3D3"/>
            <w:right w:val="none" w:sz="0" w:space="0" w:color="auto"/>
          </w:divBdr>
          <w:divsChild>
            <w:div w:id="1317146807">
              <w:marLeft w:val="0"/>
              <w:marRight w:val="0"/>
              <w:marTop w:val="0"/>
              <w:marBottom w:val="0"/>
              <w:divBdr>
                <w:top w:val="none" w:sz="0" w:space="0" w:color="auto"/>
                <w:left w:val="none" w:sz="0" w:space="0" w:color="auto"/>
                <w:bottom w:val="none" w:sz="0" w:space="0" w:color="auto"/>
                <w:right w:val="none" w:sz="0" w:space="0" w:color="auto"/>
              </w:divBdr>
            </w:div>
          </w:divsChild>
        </w:div>
        <w:div w:id="713701661">
          <w:marLeft w:val="0"/>
          <w:marRight w:val="0"/>
          <w:marTop w:val="0"/>
          <w:marBottom w:val="0"/>
          <w:divBdr>
            <w:top w:val="none" w:sz="0" w:space="0" w:color="auto"/>
            <w:left w:val="none" w:sz="0" w:space="0" w:color="auto"/>
            <w:bottom w:val="none" w:sz="0" w:space="0" w:color="auto"/>
            <w:right w:val="none" w:sz="0" w:space="0" w:color="auto"/>
          </w:divBdr>
        </w:div>
      </w:divsChild>
    </w:div>
    <w:div w:id="404494084">
      <w:bodyDiv w:val="1"/>
      <w:marLeft w:val="0"/>
      <w:marRight w:val="0"/>
      <w:marTop w:val="0"/>
      <w:marBottom w:val="0"/>
      <w:divBdr>
        <w:top w:val="none" w:sz="0" w:space="0" w:color="auto"/>
        <w:left w:val="none" w:sz="0" w:space="0" w:color="auto"/>
        <w:bottom w:val="none" w:sz="0" w:space="0" w:color="auto"/>
        <w:right w:val="none" w:sz="0" w:space="0" w:color="auto"/>
      </w:divBdr>
    </w:div>
    <w:div w:id="411048353">
      <w:bodyDiv w:val="1"/>
      <w:marLeft w:val="0"/>
      <w:marRight w:val="0"/>
      <w:marTop w:val="0"/>
      <w:marBottom w:val="0"/>
      <w:divBdr>
        <w:top w:val="none" w:sz="0" w:space="0" w:color="auto"/>
        <w:left w:val="none" w:sz="0" w:space="0" w:color="auto"/>
        <w:bottom w:val="none" w:sz="0" w:space="0" w:color="auto"/>
        <w:right w:val="none" w:sz="0" w:space="0" w:color="auto"/>
      </w:divBdr>
    </w:div>
    <w:div w:id="426930853">
      <w:bodyDiv w:val="1"/>
      <w:marLeft w:val="0"/>
      <w:marRight w:val="0"/>
      <w:marTop w:val="0"/>
      <w:marBottom w:val="0"/>
      <w:divBdr>
        <w:top w:val="none" w:sz="0" w:space="0" w:color="auto"/>
        <w:left w:val="none" w:sz="0" w:space="0" w:color="auto"/>
        <w:bottom w:val="none" w:sz="0" w:space="0" w:color="auto"/>
        <w:right w:val="none" w:sz="0" w:space="0" w:color="auto"/>
      </w:divBdr>
    </w:div>
    <w:div w:id="447050657">
      <w:bodyDiv w:val="1"/>
      <w:marLeft w:val="0"/>
      <w:marRight w:val="0"/>
      <w:marTop w:val="0"/>
      <w:marBottom w:val="0"/>
      <w:divBdr>
        <w:top w:val="none" w:sz="0" w:space="0" w:color="auto"/>
        <w:left w:val="none" w:sz="0" w:space="0" w:color="auto"/>
        <w:bottom w:val="none" w:sz="0" w:space="0" w:color="auto"/>
        <w:right w:val="none" w:sz="0" w:space="0" w:color="auto"/>
      </w:divBdr>
    </w:div>
    <w:div w:id="482238800">
      <w:bodyDiv w:val="1"/>
      <w:marLeft w:val="0"/>
      <w:marRight w:val="0"/>
      <w:marTop w:val="0"/>
      <w:marBottom w:val="0"/>
      <w:divBdr>
        <w:top w:val="none" w:sz="0" w:space="0" w:color="auto"/>
        <w:left w:val="none" w:sz="0" w:space="0" w:color="auto"/>
        <w:bottom w:val="none" w:sz="0" w:space="0" w:color="auto"/>
        <w:right w:val="none" w:sz="0" w:space="0" w:color="auto"/>
      </w:divBdr>
    </w:div>
    <w:div w:id="521675103">
      <w:bodyDiv w:val="1"/>
      <w:marLeft w:val="0"/>
      <w:marRight w:val="0"/>
      <w:marTop w:val="0"/>
      <w:marBottom w:val="0"/>
      <w:divBdr>
        <w:top w:val="none" w:sz="0" w:space="0" w:color="auto"/>
        <w:left w:val="none" w:sz="0" w:space="0" w:color="auto"/>
        <w:bottom w:val="none" w:sz="0" w:space="0" w:color="auto"/>
        <w:right w:val="none" w:sz="0" w:space="0" w:color="auto"/>
      </w:divBdr>
    </w:div>
    <w:div w:id="537401899">
      <w:bodyDiv w:val="1"/>
      <w:marLeft w:val="0"/>
      <w:marRight w:val="0"/>
      <w:marTop w:val="0"/>
      <w:marBottom w:val="0"/>
      <w:divBdr>
        <w:top w:val="none" w:sz="0" w:space="0" w:color="auto"/>
        <w:left w:val="none" w:sz="0" w:space="0" w:color="auto"/>
        <w:bottom w:val="none" w:sz="0" w:space="0" w:color="auto"/>
        <w:right w:val="none" w:sz="0" w:space="0" w:color="auto"/>
      </w:divBdr>
    </w:div>
    <w:div w:id="549848142">
      <w:bodyDiv w:val="1"/>
      <w:marLeft w:val="0"/>
      <w:marRight w:val="0"/>
      <w:marTop w:val="0"/>
      <w:marBottom w:val="0"/>
      <w:divBdr>
        <w:top w:val="none" w:sz="0" w:space="0" w:color="auto"/>
        <w:left w:val="none" w:sz="0" w:space="0" w:color="auto"/>
        <w:bottom w:val="none" w:sz="0" w:space="0" w:color="auto"/>
        <w:right w:val="none" w:sz="0" w:space="0" w:color="auto"/>
      </w:divBdr>
    </w:div>
    <w:div w:id="579100205">
      <w:bodyDiv w:val="1"/>
      <w:marLeft w:val="0"/>
      <w:marRight w:val="0"/>
      <w:marTop w:val="0"/>
      <w:marBottom w:val="0"/>
      <w:divBdr>
        <w:top w:val="none" w:sz="0" w:space="0" w:color="auto"/>
        <w:left w:val="none" w:sz="0" w:space="0" w:color="auto"/>
        <w:bottom w:val="none" w:sz="0" w:space="0" w:color="auto"/>
        <w:right w:val="none" w:sz="0" w:space="0" w:color="auto"/>
      </w:divBdr>
    </w:div>
    <w:div w:id="614794377">
      <w:bodyDiv w:val="1"/>
      <w:marLeft w:val="0"/>
      <w:marRight w:val="0"/>
      <w:marTop w:val="0"/>
      <w:marBottom w:val="0"/>
      <w:divBdr>
        <w:top w:val="none" w:sz="0" w:space="0" w:color="auto"/>
        <w:left w:val="none" w:sz="0" w:space="0" w:color="auto"/>
        <w:bottom w:val="none" w:sz="0" w:space="0" w:color="auto"/>
        <w:right w:val="none" w:sz="0" w:space="0" w:color="auto"/>
      </w:divBdr>
    </w:div>
    <w:div w:id="705565009">
      <w:bodyDiv w:val="1"/>
      <w:marLeft w:val="0"/>
      <w:marRight w:val="0"/>
      <w:marTop w:val="0"/>
      <w:marBottom w:val="0"/>
      <w:divBdr>
        <w:top w:val="none" w:sz="0" w:space="0" w:color="auto"/>
        <w:left w:val="none" w:sz="0" w:space="0" w:color="auto"/>
        <w:bottom w:val="none" w:sz="0" w:space="0" w:color="auto"/>
        <w:right w:val="none" w:sz="0" w:space="0" w:color="auto"/>
      </w:divBdr>
    </w:div>
    <w:div w:id="744839693">
      <w:bodyDiv w:val="1"/>
      <w:marLeft w:val="0"/>
      <w:marRight w:val="0"/>
      <w:marTop w:val="0"/>
      <w:marBottom w:val="0"/>
      <w:divBdr>
        <w:top w:val="none" w:sz="0" w:space="0" w:color="auto"/>
        <w:left w:val="none" w:sz="0" w:space="0" w:color="auto"/>
        <w:bottom w:val="none" w:sz="0" w:space="0" w:color="auto"/>
        <w:right w:val="none" w:sz="0" w:space="0" w:color="auto"/>
      </w:divBdr>
    </w:div>
    <w:div w:id="786697322">
      <w:bodyDiv w:val="1"/>
      <w:marLeft w:val="0"/>
      <w:marRight w:val="0"/>
      <w:marTop w:val="0"/>
      <w:marBottom w:val="0"/>
      <w:divBdr>
        <w:top w:val="none" w:sz="0" w:space="0" w:color="auto"/>
        <w:left w:val="none" w:sz="0" w:space="0" w:color="auto"/>
        <w:bottom w:val="none" w:sz="0" w:space="0" w:color="auto"/>
        <w:right w:val="none" w:sz="0" w:space="0" w:color="auto"/>
      </w:divBdr>
    </w:div>
    <w:div w:id="813256017">
      <w:bodyDiv w:val="1"/>
      <w:marLeft w:val="0"/>
      <w:marRight w:val="0"/>
      <w:marTop w:val="0"/>
      <w:marBottom w:val="0"/>
      <w:divBdr>
        <w:top w:val="none" w:sz="0" w:space="0" w:color="auto"/>
        <w:left w:val="none" w:sz="0" w:space="0" w:color="auto"/>
        <w:bottom w:val="none" w:sz="0" w:space="0" w:color="auto"/>
        <w:right w:val="none" w:sz="0" w:space="0" w:color="auto"/>
      </w:divBdr>
    </w:div>
    <w:div w:id="871919802">
      <w:bodyDiv w:val="1"/>
      <w:marLeft w:val="0"/>
      <w:marRight w:val="0"/>
      <w:marTop w:val="0"/>
      <w:marBottom w:val="0"/>
      <w:divBdr>
        <w:top w:val="none" w:sz="0" w:space="0" w:color="auto"/>
        <w:left w:val="none" w:sz="0" w:space="0" w:color="auto"/>
        <w:bottom w:val="none" w:sz="0" w:space="0" w:color="auto"/>
        <w:right w:val="none" w:sz="0" w:space="0" w:color="auto"/>
      </w:divBdr>
    </w:div>
    <w:div w:id="905455939">
      <w:bodyDiv w:val="1"/>
      <w:marLeft w:val="0"/>
      <w:marRight w:val="0"/>
      <w:marTop w:val="0"/>
      <w:marBottom w:val="0"/>
      <w:divBdr>
        <w:top w:val="none" w:sz="0" w:space="0" w:color="auto"/>
        <w:left w:val="none" w:sz="0" w:space="0" w:color="auto"/>
        <w:bottom w:val="none" w:sz="0" w:space="0" w:color="auto"/>
        <w:right w:val="none" w:sz="0" w:space="0" w:color="auto"/>
      </w:divBdr>
    </w:div>
    <w:div w:id="977803672">
      <w:bodyDiv w:val="1"/>
      <w:marLeft w:val="0"/>
      <w:marRight w:val="0"/>
      <w:marTop w:val="0"/>
      <w:marBottom w:val="0"/>
      <w:divBdr>
        <w:top w:val="none" w:sz="0" w:space="0" w:color="auto"/>
        <w:left w:val="none" w:sz="0" w:space="0" w:color="auto"/>
        <w:bottom w:val="none" w:sz="0" w:space="0" w:color="auto"/>
        <w:right w:val="none" w:sz="0" w:space="0" w:color="auto"/>
      </w:divBdr>
    </w:div>
    <w:div w:id="1015956617">
      <w:bodyDiv w:val="1"/>
      <w:marLeft w:val="0"/>
      <w:marRight w:val="0"/>
      <w:marTop w:val="0"/>
      <w:marBottom w:val="0"/>
      <w:divBdr>
        <w:top w:val="none" w:sz="0" w:space="0" w:color="auto"/>
        <w:left w:val="none" w:sz="0" w:space="0" w:color="auto"/>
        <w:bottom w:val="none" w:sz="0" w:space="0" w:color="auto"/>
        <w:right w:val="none" w:sz="0" w:space="0" w:color="auto"/>
      </w:divBdr>
    </w:div>
    <w:div w:id="1054355995">
      <w:bodyDiv w:val="1"/>
      <w:marLeft w:val="0"/>
      <w:marRight w:val="0"/>
      <w:marTop w:val="0"/>
      <w:marBottom w:val="0"/>
      <w:divBdr>
        <w:top w:val="none" w:sz="0" w:space="0" w:color="auto"/>
        <w:left w:val="none" w:sz="0" w:space="0" w:color="auto"/>
        <w:bottom w:val="none" w:sz="0" w:space="0" w:color="auto"/>
        <w:right w:val="none" w:sz="0" w:space="0" w:color="auto"/>
      </w:divBdr>
    </w:div>
    <w:div w:id="1057318489">
      <w:bodyDiv w:val="1"/>
      <w:marLeft w:val="0"/>
      <w:marRight w:val="0"/>
      <w:marTop w:val="0"/>
      <w:marBottom w:val="0"/>
      <w:divBdr>
        <w:top w:val="none" w:sz="0" w:space="0" w:color="auto"/>
        <w:left w:val="none" w:sz="0" w:space="0" w:color="auto"/>
        <w:bottom w:val="none" w:sz="0" w:space="0" w:color="auto"/>
        <w:right w:val="none" w:sz="0" w:space="0" w:color="auto"/>
      </w:divBdr>
    </w:div>
    <w:div w:id="1102720554">
      <w:bodyDiv w:val="1"/>
      <w:marLeft w:val="0"/>
      <w:marRight w:val="0"/>
      <w:marTop w:val="0"/>
      <w:marBottom w:val="0"/>
      <w:divBdr>
        <w:top w:val="none" w:sz="0" w:space="0" w:color="auto"/>
        <w:left w:val="none" w:sz="0" w:space="0" w:color="auto"/>
        <w:bottom w:val="none" w:sz="0" w:space="0" w:color="auto"/>
        <w:right w:val="none" w:sz="0" w:space="0" w:color="auto"/>
      </w:divBdr>
    </w:div>
    <w:div w:id="1130787730">
      <w:bodyDiv w:val="1"/>
      <w:marLeft w:val="0"/>
      <w:marRight w:val="0"/>
      <w:marTop w:val="0"/>
      <w:marBottom w:val="0"/>
      <w:divBdr>
        <w:top w:val="none" w:sz="0" w:space="0" w:color="auto"/>
        <w:left w:val="none" w:sz="0" w:space="0" w:color="auto"/>
        <w:bottom w:val="none" w:sz="0" w:space="0" w:color="auto"/>
        <w:right w:val="none" w:sz="0" w:space="0" w:color="auto"/>
      </w:divBdr>
    </w:div>
    <w:div w:id="1147043239">
      <w:bodyDiv w:val="1"/>
      <w:marLeft w:val="0"/>
      <w:marRight w:val="0"/>
      <w:marTop w:val="0"/>
      <w:marBottom w:val="0"/>
      <w:divBdr>
        <w:top w:val="none" w:sz="0" w:space="0" w:color="auto"/>
        <w:left w:val="none" w:sz="0" w:space="0" w:color="auto"/>
        <w:bottom w:val="none" w:sz="0" w:space="0" w:color="auto"/>
        <w:right w:val="none" w:sz="0" w:space="0" w:color="auto"/>
      </w:divBdr>
    </w:div>
    <w:div w:id="1170604125">
      <w:bodyDiv w:val="1"/>
      <w:marLeft w:val="0"/>
      <w:marRight w:val="0"/>
      <w:marTop w:val="0"/>
      <w:marBottom w:val="0"/>
      <w:divBdr>
        <w:top w:val="none" w:sz="0" w:space="0" w:color="auto"/>
        <w:left w:val="none" w:sz="0" w:space="0" w:color="auto"/>
        <w:bottom w:val="none" w:sz="0" w:space="0" w:color="auto"/>
        <w:right w:val="none" w:sz="0" w:space="0" w:color="auto"/>
      </w:divBdr>
    </w:div>
    <w:div w:id="1227954787">
      <w:bodyDiv w:val="1"/>
      <w:marLeft w:val="0"/>
      <w:marRight w:val="0"/>
      <w:marTop w:val="0"/>
      <w:marBottom w:val="0"/>
      <w:divBdr>
        <w:top w:val="none" w:sz="0" w:space="0" w:color="auto"/>
        <w:left w:val="none" w:sz="0" w:space="0" w:color="auto"/>
        <w:bottom w:val="none" w:sz="0" w:space="0" w:color="auto"/>
        <w:right w:val="none" w:sz="0" w:space="0" w:color="auto"/>
      </w:divBdr>
    </w:div>
    <w:div w:id="1254319583">
      <w:bodyDiv w:val="1"/>
      <w:marLeft w:val="0"/>
      <w:marRight w:val="0"/>
      <w:marTop w:val="0"/>
      <w:marBottom w:val="0"/>
      <w:divBdr>
        <w:top w:val="none" w:sz="0" w:space="0" w:color="auto"/>
        <w:left w:val="none" w:sz="0" w:space="0" w:color="auto"/>
        <w:bottom w:val="none" w:sz="0" w:space="0" w:color="auto"/>
        <w:right w:val="none" w:sz="0" w:space="0" w:color="auto"/>
      </w:divBdr>
    </w:div>
    <w:div w:id="1278368782">
      <w:bodyDiv w:val="1"/>
      <w:marLeft w:val="0"/>
      <w:marRight w:val="0"/>
      <w:marTop w:val="0"/>
      <w:marBottom w:val="0"/>
      <w:divBdr>
        <w:top w:val="none" w:sz="0" w:space="0" w:color="auto"/>
        <w:left w:val="none" w:sz="0" w:space="0" w:color="auto"/>
        <w:bottom w:val="none" w:sz="0" w:space="0" w:color="auto"/>
        <w:right w:val="none" w:sz="0" w:space="0" w:color="auto"/>
      </w:divBdr>
    </w:div>
    <w:div w:id="1288510630">
      <w:bodyDiv w:val="1"/>
      <w:marLeft w:val="0"/>
      <w:marRight w:val="0"/>
      <w:marTop w:val="0"/>
      <w:marBottom w:val="0"/>
      <w:divBdr>
        <w:top w:val="none" w:sz="0" w:space="0" w:color="auto"/>
        <w:left w:val="none" w:sz="0" w:space="0" w:color="auto"/>
        <w:bottom w:val="none" w:sz="0" w:space="0" w:color="auto"/>
        <w:right w:val="none" w:sz="0" w:space="0" w:color="auto"/>
      </w:divBdr>
    </w:div>
    <w:div w:id="1318876689">
      <w:bodyDiv w:val="1"/>
      <w:marLeft w:val="0"/>
      <w:marRight w:val="0"/>
      <w:marTop w:val="0"/>
      <w:marBottom w:val="0"/>
      <w:divBdr>
        <w:top w:val="none" w:sz="0" w:space="0" w:color="auto"/>
        <w:left w:val="none" w:sz="0" w:space="0" w:color="auto"/>
        <w:bottom w:val="none" w:sz="0" w:space="0" w:color="auto"/>
        <w:right w:val="none" w:sz="0" w:space="0" w:color="auto"/>
      </w:divBdr>
    </w:div>
    <w:div w:id="1330788573">
      <w:bodyDiv w:val="1"/>
      <w:marLeft w:val="0"/>
      <w:marRight w:val="0"/>
      <w:marTop w:val="0"/>
      <w:marBottom w:val="0"/>
      <w:divBdr>
        <w:top w:val="none" w:sz="0" w:space="0" w:color="auto"/>
        <w:left w:val="none" w:sz="0" w:space="0" w:color="auto"/>
        <w:bottom w:val="none" w:sz="0" w:space="0" w:color="auto"/>
        <w:right w:val="none" w:sz="0" w:space="0" w:color="auto"/>
      </w:divBdr>
    </w:div>
    <w:div w:id="1365206754">
      <w:bodyDiv w:val="1"/>
      <w:marLeft w:val="0"/>
      <w:marRight w:val="0"/>
      <w:marTop w:val="0"/>
      <w:marBottom w:val="0"/>
      <w:divBdr>
        <w:top w:val="none" w:sz="0" w:space="0" w:color="auto"/>
        <w:left w:val="none" w:sz="0" w:space="0" w:color="auto"/>
        <w:bottom w:val="none" w:sz="0" w:space="0" w:color="auto"/>
        <w:right w:val="none" w:sz="0" w:space="0" w:color="auto"/>
      </w:divBdr>
    </w:div>
    <w:div w:id="1379861985">
      <w:bodyDiv w:val="1"/>
      <w:marLeft w:val="0"/>
      <w:marRight w:val="0"/>
      <w:marTop w:val="0"/>
      <w:marBottom w:val="0"/>
      <w:divBdr>
        <w:top w:val="none" w:sz="0" w:space="0" w:color="auto"/>
        <w:left w:val="none" w:sz="0" w:space="0" w:color="auto"/>
        <w:bottom w:val="none" w:sz="0" w:space="0" w:color="auto"/>
        <w:right w:val="none" w:sz="0" w:space="0" w:color="auto"/>
      </w:divBdr>
    </w:div>
    <w:div w:id="1416899585">
      <w:bodyDiv w:val="1"/>
      <w:marLeft w:val="0"/>
      <w:marRight w:val="0"/>
      <w:marTop w:val="0"/>
      <w:marBottom w:val="0"/>
      <w:divBdr>
        <w:top w:val="none" w:sz="0" w:space="0" w:color="auto"/>
        <w:left w:val="none" w:sz="0" w:space="0" w:color="auto"/>
        <w:bottom w:val="none" w:sz="0" w:space="0" w:color="auto"/>
        <w:right w:val="none" w:sz="0" w:space="0" w:color="auto"/>
      </w:divBdr>
    </w:div>
    <w:div w:id="1443107947">
      <w:bodyDiv w:val="1"/>
      <w:marLeft w:val="0"/>
      <w:marRight w:val="0"/>
      <w:marTop w:val="0"/>
      <w:marBottom w:val="0"/>
      <w:divBdr>
        <w:top w:val="none" w:sz="0" w:space="0" w:color="auto"/>
        <w:left w:val="none" w:sz="0" w:space="0" w:color="auto"/>
        <w:bottom w:val="none" w:sz="0" w:space="0" w:color="auto"/>
        <w:right w:val="none" w:sz="0" w:space="0" w:color="auto"/>
      </w:divBdr>
    </w:div>
    <w:div w:id="1470854514">
      <w:bodyDiv w:val="1"/>
      <w:marLeft w:val="0"/>
      <w:marRight w:val="0"/>
      <w:marTop w:val="0"/>
      <w:marBottom w:val="0"/>
      <w:divBdr>
        <w:top w:val="none" w:sz="0" w:space="0" w:color="auto"/>
        <w:left w:val="none" w:sz="0" w:space="0" w:color="auto"/>
        <w:bottom w:val="none" w:sz="0" w:space="0" w:color="auto"/>
        <w:right w:val="none" w:sz="0" w:space="0" w:color="auto"/>
      </w:divBdr>
    </w:div>
    <w:div w:id="1538275437">
      <w:bodyDiv w:val="1"/>
      <w:marLeft w:val="0"/>
      <w:marRight w:val="0"/>
      <w:marTop w:val="0"/>
      <w:marBottom w:val="0"/>
      <w:divBdr>
        <w:top w:val="none" w:sz="0" w:space="0" w:color="auto"/>
        <w:left w:val="none" w:sz="0" w:space="0" w:color="auto"/>
        <w:bottom w:val="none" w:sz="0" w:space="0" w:color="auto"/>
        <w:right w:val="none" w:sz="0" w:space="0" w:color="auto"/>
      </w:divBdr>
    </w:div>
    <w:div w:id="1601839521">
      <w:bodyDiv w:val="1"/>
      <w:marLeft w:val="0"/>
      <w:marRight w:val="0"/>
      <w:marTop w:val="0"/>
      <w:marBottom w:val="0"/>
      <w:divBdr>
        <w:top w:val="none" w:sz="0" w:space="0" w:color="auto"/>
        <w:left w:val="none" w:sz="0" w:space="0" w:color="auto"/>
        <w:bottom w:val="none" w:sz="0" w:space="0" w:color="auto"/>
        <w:right w:val="none" w:sz="0" w:space="0" w:color="auto"/>
      </w:divBdr>
    </w:div>
    <w:div w:id="1618171742">
      <w:bodyDiv w:val="1"/>
      <w:marLeft w:val="0"/>
      <w:marRight w:val="0"/>
      <w:marTop w:val="0"/>
      <w:marBottom w:val="0"/>
      <w:divBdr>
        <w:top w:val="none" w:sz="0" w:space="0" w:color="auto"/>
        <w:left w:val="none" w:sz="0" w:space="0" w:color="auto"/>
        <w:bottom w:val="none" w:sz="0" w:space="0" w:color="auto"/>
        <w:right w:val="none" w:sz="0" w:space="0" w:color="auto"/>
      </w:divBdr>
    </w:div>
    <w:div w:id="1663198547">
      <w:bodyDiv w:val="1"/>
      <w:marLeft w:val="0"/>
      <w:marRight w:val="0"/>
      <w:marTop w:val="0"/>
      <w:marBottom w:val="0"/>
      <w:divBdr>
        <w:top w:val="none" w:sz="0" w:space="0" w:color="auto"/>
        <w:left w:val="none" w:sz="0" w:space="0" w:color="auto"/>
        <w:bottom w:val="none" w:sz="0" w:space="0" w:color="auto"/>
        <w:right w:val="none" w:sz="0" w:space="0" w:color="auto"/>
      </w:divBdr>
    </w:div>
    <w:div w:id="1694767717">
      <w:bodyDiv w:val="1"/>
      <w:marLeft w:val="0"/>
      <w:marRight w:val="0"/>
      <w:marTop w:val="0"/>
      <w:marBottom w:val="0"/>
      <w:divBdr>
        <w:top w:val="none" w:sz="0" w:space="0" w:color="auto"/>
        <w:left w:val="none" w:sz="0" w:space="0" w:color="auto"/>
        <w:bottom w:val="none" w:sz="0" w:space="0" w:color="auto"/>
        <w:right w:val="none" w:sz="0" w:space="0" w:color="auto"/>
      </w:divBdr>
    </w:div>
    <w:div w:id="1708720430">
      <w:bodyDiv w:val="1"/>
      <w:marLeft w:val="0"/>
      <w:marRight w:val="0"/>
      <w:marTop w:val="0"/>
      <w:marBottom w:val="0"/>
      <w:divBdr>
        <w:top w:val="none" w:sz="0" w:space="0" w:color="auto"/>
        <w:left w:val="none" w:sz="0" w:space="0" w:color="auto"/>
        <w:bottom w:val="none" w:sz="0" w:space="0" w:color="auto"/>
        <w:right w:val="none" w:sz="0" w:space="0" w:color="auto"/>
      </w:divBdr>
    </w:div>
    <w:div w:id="1712877106">
      <w:bodyDiv w:val="1"/>
      <w:marLeft w:val="0"/>
      <w:marRight w:val="0"/>
      <w:marTop w:val="0"/>
      <w:marBottom w:val="0"/>
      <w:divBdr>
        <w:top w:val="none" w:sz="0" w:space="0" w:color="auto"/>
        <w:left w:val="none" w:sz="0" w:space="0" w:color="auto"/>
        <w:bottom w:val="none" w:sz="0" w:space="0" w:color="auto"/>
        <w:right w:val="none" w:sz="0" w:space="0" w:color="auto"/>
      </w:divBdr>
    </w:div>
    <w:div w:id="1754085185">
      <w:bodyDiv w:val="1"/>
      <w:marLeft w:val="0"/>
      <w:marRight w:val="0"/>
      <w:marTop w:val="0"/>
      <w:marBottom w:val="0"/>
      <w:divBdr>
        <w:top w:val="none" w:sz="0" w:space="0" w:color="auto"/>
        <w:left w:val="none" w:sz="0" w:space="0" w:color="auto"/>
        <w:bottom w:val="none" w:sz="0" w:space="0" w:color="auto"/>
        <w:right w:val="none" w:sz="0" w:space="0" w:color="auto"/>
      </w:divBdr>
    </w:div>
    <w:div w:id="1772504212">
      <w:bodyDiv w:val="1"/>
      <w:marLeft w:val="0"/>
      <w:marRight w:val="0"/>
      <w:marTop w:val="0"/>
      <w:marBottom w:val="0"/>
      <w:divBdr>
        <w:top w:val="none" w:sz="0" w:space="0" w:color="auto"/>
        <w:left w:val="none" w:sz="0" w:space="0" w:color="auto"/>
        <w:bottom w:val="none" w:sz="0" w:space="0" w:color="auto"/>
        <w:right w:val="none" w:sz="0" w:space="0" w:color="auto"/>
      </w:divBdr>
    </w:div>
    <w:div w:id="1886679839">
      <w:bodyDiv w:val="1"/>
      <w:marLeft w:val="0"/>
      <w:marRight w:val="0"/>
      <w:marTop w:val="0"/>
      <w:marBottom w:val="0"/>
      <w:divBdr>
        <w:top w:val="none" w:sz="0" w:space="0" w:color="auto"/>
        <w:left w:val="none" w:sz="0" w:space="0" w:color="auto"/>
        <w:bottom w:val="none" w:sz="0" w:space="0" w:color="auto"/>
        <w:right w:val="none" w:sz="0" w:space="0" w:color="auto"/>
      </w:divBdr>
    </w:div>
    <w:div w:id="1889996564">
      <w:bodyDiv w:val="1"/>
      <w:marLeft w:val="0"/>
      <w:marRight w:val="0"/>
      <w:marTop w:val="0"/>
      <w:marBottom w:val="0"/>
      <w:divBdr>
        <w:top w:val="none" w:sz="0" w:space="0" w:color="auto"/>
        <w:left w:val="none" w:sz="0" w:space="0" w:color="auto"/>
        <w:bottom w:val="none" w:sz="0" w:space="0" w:color="auto"/>
        <w:right w:val="none" w:sz="0" w:space="0" w:color="auto"/>
      </w:divBdr>
    </w:div>
    <w:div w:id="1911385402">
      <w:bodyDiv w:val="1"/>
      <w:marLeft w:val="0"/>
      <w:marRight w:val="0"/>
      <w:marTop w:val="0"/>
      <w:marBottom w:val="0"/>
      <w:divBdr>
        <w:top w:val="none" w:sz="0" w:space="0" w:color="auto"/>
        <w:left w:val="none" w:sz="0" w:space="0" w:color="auto"/>
        <w:bottom w:val="none" w:sz="0" w:space="0" w:color="auto"/>
        <w:right w:val="none" w:sz="0" w:space="0" w:color="auto"/>
      </w:divBdr>
    </w:div>
    <w:div w:id="2019427273">
      <w:bodyDiv w:val="1"/>
      <w:marLeft w:val="0"/>
      <w:marRight w:val="0"/>
      <w:marTop w:val="0"/>
      <w:marBottom w:val="0"/>
      <w:divBdr>
        <w:top w:val="none" w:sz="0" w:space="0" w:color="auto"/>
        <w:left w:val="none" w:sz="0" w:space="0" w:color="auto"/>
        <w:bottom w:val="none" w:sz="0" w:space="0" w:color="auto"/>
        <w:right w:val="none" w:sz="0" w:space="0" w:color="auto"/>
      </w:divBdr>
    </w:div>
    <w:div w:id="2042629061">
      <w:bodyDiv w:val="1"/>
      <w:marLeft w:val="0"/>
      <w:marRight w:val="0"/>
      <w:marTop w:val="0"/>
      <w:marBottom w:val="0"/>
      <w:divBdr>
        <w:top w:val="none" w:sz="0" w:space="0" w:color="auto"/>
        <w:left w:val="none" w:sz="0" w:space="0" w:color="auto"/>
        <w:bottom w:val="none" w:sz="0" w:space="0" w:color="auto"/>
        <w:right w:val="none" w:sz="0" w:space="0" w:color="auto"/>
      </w:divBdr>
    </w:div>
    <w:div w:id="2057462450">
      <w:bodyDiv w:val="1"/>
      <w:marLeft w:val="0"/>
      <w:marRight w:val="0"/>
      <w:marTop w:val="0"/>
      <w:marBottom w:val="0"/>
      <w:divBdr>
        <w:top w:val="none" w:sz="0" w:space="0" w:color="auto"/>
        <w:left w:val="none" w:sz="0" w:space="0" w:color="auto"/>
        <w:bottom w:val="none" w:sz="0" w:space="0" w:color="auto"/>
        <w:right w:val="none" w:sz="0" w:space="0" w:color="auto"/>
      </w:divBdr>
      <w:divsChild>
        <w:div w:id="451823939">
          <w:marLeft w:val="0"/>
          <w:marRight w:val="0"/>
          <w:marTop w:val="0"/>
          <w:marBottom w:val="0"/>
          <w:divBdr>
            <w:top w:val="none" w:sz="0" w:space="0" w:color="auto"/>
            <w:left w:val="none" w:sz="0" w:space="0" w:color="auto"/>
            <w:bottom w:val="single" w:sz="6" w:space="0" w:color="D3D3D3"/>
            <w:right w:val="none" w:sz="0" w:space="0" w:color="auto"/>
          </w:divBdr>
          <w:divsChild>
            <w:div w:id="1349529981">
              <w:marLeft w:val="0"/>
              <w:marRight w:val="0"/>
              <w:marTop w:val="0"/>
              <w:marBottom w:val="0"/>
              <w:divBdr>
                <w:top w:val="none" w:sz="0" w:space="0" w:color="auto"/>
                <w:left w:val="none" w:sz="0" w:space="0" w:color="auto"/>
                <w:bottom w:val="none" w:sz="0" w:space="0" w:color="auto"/>
                <w:right w:val="none" w:sz="0" w:space="0" w:color="auto"/>
              </w:divBdr>
            </w:div>
          </w:divsChild>
        </w:div>
        <w:div w:id="719591399">
          <w:marLeft w:val="0"/>
          <w:marRight w:val="0"/>
          <w:marTop w:val="0"/>
          <w:marBottom w:val="0"/>
          <w:divBdr>
            <w:top w:val="none" w:sz="0" w:space="0" w:color="auto"/>
            <w:left w:val="none" w:sz="0" w:space="0" w:color="auto"/>
            <w:bottom w:val="none" w:sz="0" w:space="0" w:color="auto"/>
            <w:right w:val="none" w:sz="0" w:space="0" w:color="auto"/>
          </w:divBdr>
        </w:div>
      </w:divsChild>
    </w:div>
    <w:div w:id="2063821568">
      <w:bodyDiv w:val="1"/>
      <w:marLeft w:val="0"/>
      <w:marRight w:val="0"/>
      <w:marTop w:val="0"/>
      <w:marBottom w:val="0"/>
      <w:divBdr>
        <w:top w:val="none" w:sz="0" w:space="0" w:color="auto"/>
        <w:left w:val="none" w:sz="0" w:space="0" w:color="auto"/>
        <w:bottom w:val="none" w:sz="0" w:space="0" w:color="auto"/>
        <w:right w:val="none" w:sz="0" w:space="0" w:color="auto"/>
      </w:divBdr>
    </w:div>
    <w:div w:id="2116513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1936</Words>
  <Characters>10534</Characters>
  <Application>Microsoft Macintosh Word</Application>
  <DocSecurity>0</DocSecurity>
  <Lines>244</Lines>
  <Paragraphs>102</Paragraphs>
  <ScaleCrop>false</ScaleCrop>
  <Company>hdincer77@gmail.com</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Hülya Dinçer</cp:lastModifiedBy>
  <cp:revision>3</cp:revision>
  <dcterms:created xsi:type="dcterms:W3CDTF">2018-11-02T14:29:00Z</dcterms:created>
  <dcterms:modified xsi:type="dcterms:W3CDTF">2018-11-05T11:42:00Z</dcterms:modified>
</cp:coreProperties>
</file>