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C502" w14:textId="148B2974"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 xml:space="preserve">Case Title: </w:t>
      </w:r>
      <w:proofErr w:type="spellStart"/>
      <w:r w:rsidR="00C701D3" w:rsidRPr="00957009">
        <w:rPr>
          <w:rFonts w:ascii="Times New Roman" w:hAnsi="Times New Roman" w:cs="Times New Roman"/>
        </w:rPr>
        <w:t>Mlungwana</w:t>
      </w:r>
      <w:proofErr w:type="spellEnd"/>
      <w:r w:rsidR="00C701D3" w:rsidRPr="00957009">
        <w:rPr>
          <w:rFonts w:ascii="Times New Roman" w:hAnsi="Times New Roman" w:cs="Times New Roman"/>
        </w:rPr>
        <w:t xml:space="preserve"> v. The State</w:t>
      </w:r>
    </w:p>
    <w:p w14:paraId="71D69AF1" w14:textId="54A18868"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 xml:space="preserve">Case Number: </w:t>
      </w:r>
      <w:r w:rsidR="00C701D3" w:rsidRPr="00957009">
        <w:rPr>
          <w:rFonts w:ascii="Times New Roman" w:hAnsi="Times New Roman" w:cs="Times New Roman"/>
        </w:rPr>
        <w:t>CCT 32/18</w:t>
      </w:r>
    </w:p>
    <w:p w14:paraId="5102F8C0" w14:textId="77777777"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 xml:space="preserve">Law Reference: </w:t>
      </w:r>
    </w:p>
    <w:p w14:paraId="7A0DCF90" w14:textId="65451209" w:rsidR="006A7ABC" w:rsidRPr="00957009" w:rsidRDefault="00043D42" w:rsidP="001B1500">
      <w:pPr>
        <w:contextualSpacing/>
        <w:rPr>
          <w:rFonts w:ascii="Times New Roman" w:hAnsi="Times New Roman" w:cs="Times New Roman"/>
        </w:rPr>
      </w:pPr>
      <w:r w:rsidRPr="00957009">
        <w:rPr>
          <w:rFonts w:ascii="Times New Roman" w:hAnsi="Times New Roman" w:cs="Times New Roman"/>
        </w:rPr>
        <w:t xml:space="preserve">Date of Decision: </w:t>
      </w:r>
      <w:r w:rsidR="00C701D3" w:rsidRPr="00957009">
        <w:rPr>
          <w:rFonts w:ascii="Times New Roman" w:hAnsi="Times New Roman" w:cs="Times New Roman"/>
        </w:rPr>
        <w:t>November 19, 2018</w:t>
      </w:r>
    </w:p>
    <w:p w14:paraId="7EE0C424" w14:textId="79B0552F"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Region:</w:t>
      </w:r>
      <w:r w:rsidR="00C701D3" w:rsidRPr="00957009">
        <w:rPr>
          <w:rFonts w:ascii="Times New Roman" w:hAnsi="Times New Roman" w:cs="Times New Roman"/>
        </w:rPr>
        <w:t xml:space="preserve"> Africa</w:t>
      </w:r>
      <w:r w:rsidR="003D629A" w:rsidRPr="00957009">
        <w:rPr>
          <w:rFonts w:ascii="Times New Roman" w:hAnsi="Times New Roman" w:cs="Times New Roman"/>
        </w:rPr>
        <w:tab/>
      </w:r>
    </w:p>
    <w:p w14:paraId="0FD18A99" w14:textId="4F1E4AFC"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 xml:space="preserve">Country: </w:t>
      </w:r>
      <w:r w:rsidR="00C701D3" w:rsidRPr="00957009">
        <w:rPr>
          <w:rFonts w:ascii="Times New Roman" w:hAnsi="Times New Roman" w:cs="Times New Roman"/>
        </w:rPr>
        <w:t>South Africa</w:t>
      </w:r>
    </w:p>
    <w:p w14:paraId="74BECA3F" w14:textId="0819382F"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Mode of Expression:</w:t>
      </w:r>
      <w:r w:rsidR="002A7B10" w:rsidRPr="00957009">
        <w:rPr>
          <w:rFonts w:ascii="Times New Roman" w:hAnsi="Times New Roman" w:cs="Times New Roman"/>
        </w:rPr>
        <w:t xml:space="preserve"> </w:t>
      </w:r>
      <w:r w:rsidRPr="00957009">
        <w:rPr>
          <w:rFonts w:ascii="Times New Roman" w:hAnsi="Times New Roman" w:cs="Times New Roman"/>
        </w:rPr>
        <w:t xml:space="preserve"> </w:t>
      </w:r>
    </w:p>
    <w:p w14:paraId="5661DBB4" w14:textId="7148E951" w:rsidR="007D64CD" w:rsidRPr="00957009" w:rsidRDefault="00043D42" w:rsidP="001B1500">
      <w:pPr>
        <w:contextualSpacing/>
        <w:rPr>
          <w:rFonts w:ascii="Times New Roman" w:hAnsi="Times New Roman" w:cs="Times New Roman"/>
        </w:rPr>
      </w:pPr>
      <w:r w:rsidRPr="00957009">
        <w:rPr>
          <w:rFonts w:ascii="Times New Roman" w:hAnsi="Times New Roman" w:cs="Times New Roman"/>
        </w:rPr>
        <w:t xml:space="preserve">Judicial Body: </w:t>
      </w:r>
    </w:p>
    <w:p w14:paraId="03367C4F" w14:textId="089C5A82"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 xml:space="preserve">Type of Law: </w:t>
      </w:r>
    </w:p>
    <w:p w14:paraId="5C4B9619" w14:textId="3485B5CD"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Main Theme:</w:t>
      </w:r>
      <w:r w:rsidR="00141E6D" w:rsidRPr="00957009">
        <w:rPr>
          <w:rFonts w:ascii="Times New Roman" w:hAnsi="Times New Roman" w:cs="Times New Roman"/>
        </w:rPr>
        <w:t xml:space="preserve"> </w:t>
      </w:r>
    </w:p>
    <w:p w14:paraId="5ACA2E26" w14:textId="77777777"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Outcome:</w:t>
      </w:r>
    </w:p>
    <w:p w14:paraId="19595C52" w14:textId="77777777"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 xml:space="preserve">Status: </w:t>
      </w:r>
    </w:p>
    <w:p w14:paraId="14377A94" w14:textId="77777777"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Tags:</w:t>
      </w:r>
    </w:p>
    <w:p w14:paraId="2F662981" w14:textId="77777777" w:rsidR="00043D42" w:rsidRPr="00957009" w:rsidRDefault="00043D42" w:rsidP="001B1500">
      <w:pPr>
        <w:contextualSpacing/>
        <w:rPr>
          <w:rFonts w:ascii="Times New Roman" w:hAnsi="Times New Roman" w:cs="Times New Roman"/>
        </w:rPr>
      </w:pPr>
    </w:p>
    <w:p w14:paraId="7D52F401" w14:textId="77777777"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Summary and Outcome:</w:t>
      </w:r>
    </w:p>
    <w:p w14:paraId="7267C8C4" w14:textId="770AF4E5" w:rsidR="00043D42" w:rsidRPr="00957009" w:rsidRDefault="00043D42" w:rsidP="001B1500">
      <w:pPr>
        <w:contextualSpacing/>
        <w:rPr>
          <w:rFonts w:ascii="Times New Roman" w:hAnsi="Times New Roman" w:cs="Times New Roman"/>
        </w:rPr>
      </w:pPr>
    </w:p>
    <w:p w14:paraId="326E9D72" w14:textId="77777777" w:rsidR="00BA0457" w:rsidRPr="00957009" w:rsidRDefault="00BA0457" w:rsidP="001B1500">
      <w:pPr>
        <w:contextualSpacing/>
        <w:rPr>
          <w:rFonts w:ascii="Times New Roman" w:hAnsi="Times New Roman" w:cs="Times New Roman"/>
        </w:rPr>
      </w:pPr>
    </w:p>
    <w:p w14:paraId="61C9072F" w14:textId="77777777" w:rsidR="006141F8" w:rsidRPr="00957009" w:rsidRDefault="006141F8" w:rsidP="001B1500">
      <w:pPr>
        <w:contextualSpacing/>
        <w:rPr>
          <w:rFonts w:ascii="Times New Roman" w:hAnsi="Times New Roman" w:cs="Times New Roman"/>
        </w:rPr>
      </w:pPr>
    </w:p>
    <w:p w14:paraId="128DF188" w14:textId="77777777" w:rsidR="00043D42" w:rsidRPr="00957009" w:rsidRDefault="00043D42" w:rsidP="001B1500">
      <w:pPr>
        <w:contextualSpacing/>
        <w:rPr>
          <w:rFonts w:ascii="Times New Roman" w:hAnsi="Times New Roman" w:cs="Times New Roman"/>
        </w:rPr>
      </w:pPr>
    </w:p>
    <w:p w14:paraId="6A77984A" w14:textId="77777777" w:rsidR="00043D42" w:rsidRPr="00957009" w:rsidRDefault="00043D42" w:rsidP="001B1500">
      <w:pPr>
        <w:contextualSpacing/>
        <w:rPr>
          <w:rFonts w:ascii="Times New Roman" w:hAnsi="Times New Roman" w:cs="Times New Roman"/>
        </w:rPr>
      </w:pPr>
      <w:r w:rsidRPr="00957009">
        <w:rPr>
          <w:rFonts w:ascii="Times New Roman" w:hAnsi="Times New Roman" w:cs="Times New Roman"/>
        </w:rPr>
        <w:t>Facts:</w:t>
      </w:r>
    </w:p>
    <w:p w14:paraId="091A3D55" w14:textId="731E6C89" w:rsidR="003F7766" w:rsidRPr="00957009" w:rsidRDefault="003F7766" w:rsidP="001B1500">
      <w:pPr>
        <w:contextualSpacing/>
        <w:rPr>
          <w:rFonts w:ascii="Times New Roman" w:hAnsi="Times New Roman" w:cs="Times New Roman"/>
        </w:rPr>
      </w:pPr>
    </w:p>
    <w:p w14:paraId="4FE68AF8" w14:textId="7A0C7C81" w:rsidR="00643B74" w:rsidRPr="00957009" w:rsidRDefault="005D2A27" w:rsidP="001B1500">
      <w:pPr>
        <w:contextualSpacing/>
        <w:rPr>
          <w:rFonts w:ascii="Times New Roman" w:hAnsi="Times New Roman" w:cs="Times New Roman"/>
        </w:rPr>
      </w:pPr>
      <w:r w:rsidRPr="00957009">
        <w:rPr>
          <w:rFonts w:ascii="Times New Roman" w:hAnsi="Times New Roman" w:cs="Times New Roman"/>
        </w:rPr>
        <w:t>On September 11, 2013 fifteen members of the Social Justice Coalition</w:t>
      </w:r>
      <w:r w:rsidR="001B1CD4" w:rsidRPr="00957009">
        <w:rPr>
          <w:rFonts w:ascii="Times New Roman" w:hAnsi="Times New Roman" w:cs="Times New Roman"/>
        </w:rPr>
        <w:t xml:space="preserve"> (SJC)</w:t>
      </w:r>
      <w:r w:rsidRPr="00957009">
        <w:rPr>
          <w:rFonts w:ascii="Times New Roman" w:hAnsi="Times New Roman" w:cs="Times New Roman"/>
        </w:rPr>
        <w:t xml:space="preserve"> </w:t>
      </w:r>
      <w:r w:rsidR="001B1CD4" w:rsidRPr="00957009">
        <w:rPr>
          <w:rFonts w:ascii="Times New Roman" w:hAnsi="Times New Roman" w:cs="Times New Roman"/>
        </w:rPr>
        <w:t>–</w:t>
      </w:r>
      <w:r w:rsidRPr="00957009">
        <w:rPr>
          <w:rFonts w:ascii="Times New Roman" w:hAnsi="Times New Roman" w:cs="Times New Roman"/>
        </w:rPr>
        <w:t xml:space="preserve"> </w:t>
      </w:r>
      <w:r w:rsidR="001B1CD4" w:rsidRPr="00957009">
        <w:rPr>
          <w:rFonts w:ascii="Times New Roman" w:hAnsi="Times New Roman" w:cs="Times New Roman"/>
        </w:rPr>
        <w:t>a membership-based organization lobbying for improved service provision in urban areas (para. 25) –</w:t>
      </w:r>
      <w:r w:rsidR="00303FD8">
        <w:rPr>
          <w:rFonts w:ascii="Times New Roman" w:hAnsi="Times New Roman" w:cs="Times New Roman"/>
        </w:rPr>
        <w:t xml:space="preserve"> </w:t>
      </w:r>
      <w:r w:rsidR="001B1CD4" w:rsidRPr="00957009">
        <w:rPr>
          <w:rFonts w:ascii="Times New Roman" w:hAnsi="Times New Roman" w:cs="Times New Roman"/>
        </w:rPr>
        <w:t>protest</w:t>
      </w:r>
      <w:r w:rsidR="00666F1A">
        <w:rPr>
          <w:rFonts w:ascii="Times New Roman" w:hAnsi="Times New Roman" w:cs="Times New Roman"/>
        </w:rPr>
        <w:t>ed</w:t>
      </w:r>
      <w:r w:rsidR="001B1CD4" w:rsidRPr="00957009">
        <w:rPr>
          <w:rFonts w:ascii="Times New Roman" w:hAnsi="Times New Roman" w:cs="Times New Roman"/>
        </w:rPr>
        <w:t xml:space="preserve"> at the Cape Town Civic Centre. The SJC members chained themselves together in groups of five and then chained themselves to the railings at the Civic Centre. The SJC had </w:t>
      </w:r>
      <w:r w:rsidR="00FD4653">
        <w:rPr>
          <w:rFonts w:ascii="Times New Roman" w:hAnsi="Times New Roman" w:cs="Times New Roman"/>
        </w:rPr>
        <w:t>taken the decision</w:t>
      </w:r>
      <w:r w:rsidR="001B1CD4" w:rsidRPr="00957009">
        <w:rPr>
          <w:rFonts w:ascii="Times New Roman" w:hAnsi="Times New Roman" w:cs="Times New Roman"/>
        </w:rPr>
        <w:t xml:space="preserve"> to limit the protest to fifteen people as, under the Regulations of Gatherings Act, 1993</w:t>
      </w:r>
      <w:r w:rsidR="007800F3">
        <w:rPr>
          <w:rFonts w:ascii="Times New Roman" w:hAnsi="Times New Roman" w:cs="Times New Roman"/>
        </w:rPr>
        <w:t xml:space="preserve"> (the Act)</w:t>
      </w:r>
      <w:r w:rsidR="001B1CD4" w:rsidRPr="00957009">
        <w:rPr>
          <w:rFonts w:ascii="Times New Roman" w:hAnsi="Times New Roman" w:cs="Times New Roman"/>
        </w:rPr>
        <w:t xml:space="preserve">, an assembly of fifteen people or fewer does not require prior notification. However, more SJC members did join the protest and the SJC had been cognisant of the risk that this may happen which may put them at risk of arrest (para. 29). </w:t>
      </w:r>
      <w:r w:rsidR="00BD3798" w:rsidRPr="00957009">
        <w:rPr>
          <w:rFonts w:ascii="Times New Roman" w:hAnsi="Times New Roman" w:cs="Times New Roman"/>
        </w:rPr>
        <w:t xml:space="preserve">The gathering was peaceful, but police were called and requested that the protesters disperse. When they did not, the police arrested the protesters without resistance (para. 30). </w:t>
      </w:r>
      <w:r w:rsidR="009B17FD" w:rsidRPr="00957009">
        <w:rPr>
          <w:rFonts w:ascii="Times New Roman" w:hAnsi="Times New Roman" w:cs="Times New Roman"/>
        </w:rPr>
        <w:t>Twenty-one of the protesters were charged with contravening section 12(1)(a) of the Act, and alternative with attending a prohibited gather in contravention of section 12(1)(e).</w:t>
      </w:r>
    </w:p>
    <w:p w14:paraId="505000DF" w14:textId="77777777" w:rsidR="00643B74" w:rsidRPr="00957009" w:rsidRDefault="00643B74" w:rsidP="001B1500">
      <w:pPr>
        <w:contextualSpacing/>
        <w:rPr>
          <w:rFonts w:ascii="Times New Roman" w:hAnsi="Times New Roman" w:cs="Times New Roman"/>
        </w:rPr>
      </w:pPr>
    </w:p>
    <w:p w14:paraId="765236DF" w14:textId="413E8ED5" w:rsidR="00E7192E" w:rsidRDefault="002E1493" w:rsidP="001B1500">
      <w:pPr>
        <w:contextualSpacing/>
        <w:rPr>
          <w:rFonts w:ascii="Times New Roman" w:hAnsi="Times New Roman" w:cs="Times New Roman"/>
        </w:rPr>
      </w:pPr>
      <w:r w:rsidRPr="00957009">
        <w:rPr>
          <w:rFonts w:ascii="Times New Roman" w:hAnsi="Times New Roman" w:cs="Times New Roman"/>
        </w:rPr>
        <w:t>The Act</w:t>
      </w:r>
      <w:r w:rsidR="009B17FD" w:rsidRPr="00957009">
        <w:rPr>
          <w:rFonts w:ascii="Times New Roman" w:hAnsi="Times New Roman" w:cs="Times New Roman"/>
        </w:rPr>
        <w:t xml:space="preserve"> </w:t>
      </w:r>
      <w:r w:rsidR="005357D2">
        <w:rPr>
          <w:rFonts w:ascii="Times New Roman" w:hAnsi="Times New Roman" w:cs="Times New Roman"/>
        </w:rPr>
        <w:t xml:space="preserve">was enacted to </w:t>
      </w:r>
      <w:r w:rsidR="005357D2" w:rsidRPr="00957009">
        <w:rPr>
          <w:rFonts w:ascii="Times New Roman" w:hAnsi="Times New Roman" w:cs="Times New Roman"/>
        </w:rPr>
        <w:t>“regulate public gatherings and demonstrations”</w:t>
      </w:r>
      <w:r w:rsidR="005357D2">
        <w:rPr>
          <w:rFonts w:ascii="Times New Roman" w:hAnsi="Times New Roman" w:cs="Times New Roman"/>
        </w:rPr>
        <w:t xml:space="preserve"> and to ensure that assemblies do not unjustifiably infringe the rights of others (para. 7). </w:t>
      </w:r>
      <w:r w:rsidR="00E7192E">
        <w:rPr>
          <w:rFonts w:ascii="Times New Roman" w:hAnsi="Times New Roman" w:cs="Times New Roman"/>
        </w:rPr>
        <w:t>The Act</w:t>
      </w:r>
      <w:r w:rsidR="005357D2">
        <w:rPr>
          <w:rFonts w:ascii="Times New Roman" w:hAnsi="Times New Roman" w:cs="Times New Roman"/>
        </w:rPr>
        <w:t xml:space="preserve"> requires all conveners of gatherings to give notice</w:t>
      </w:r>
      <w:r w:rsidR="00E7192E" w:rsidRPr="00E7192E">
        <w:rPr>
          <w:rFonts w:ascii="Times New Roman" w:hAnsi="Times New Roman" w:cs="Times New Roman"/>
        </w:rPr>
        <w:t xml:space="preserve"> </w:t>
      </w:r>
      <w:r w:rsidR="00E7192E">
        <w:rPr>
          <w:rFonts w:ascii="Times New Roman" w:hAnsi="Times New Roman" w:cs="Times New Roman"/>
        </w:rPr>
        <w:t>about their intended gathering</w:t>
      </w:r>
      <w:r w:rsidR="005357D2">
        <w:rPr>
          <w:rFonts w:ascii="Times New Roman" w:hAnsi="Times New Roman" w:cs="Times New Roman"/>
        </w:rPr>
        <w:t xml:space="preserve"> to the officer appointed by a local authority to oversee gatherings. </w:t>
      </w:r>
      <w:r w:rsidR="00E7192E">
        <w:rPr>
          <w:rFonts w:ascii="Times New Roman" w:hAnsi="Times New Roman" w:cs="Times New Roman"/>
        </w:rPr>
        <w:t xml:space="preserve">A gathering is defined in the legislation as an assembly of more than fifteen people, whereas a demonstration – which does not require prior notice – is an assembly of fifteen or fewer people. The notice must be given in writing and at </w:t>
      </w:r>
      <w:r w:rsidR="00E7192E" w:rsidRPr="00957009">
        <w:rPr>
          <w:rFonts w:ascii="Times New Roman" w:hAnsi="Times New Roman" w:cs="Times New Roman"/>
        </w:rPr>
        <w:t>least seven days prior to the gathering</w:t>
      </w:r>
      <w:r w:rsidR="00E7192E">
        <w:rPr>
          <w:rFonts w:ascii="Times New Roman" w:hAnsi="Times New Roman" w:cs="Times New Roman"/>
        </w:rPr>
        <w:t>, and if notice is given less than 48 hours before the intended gathering the officer may prohibit the holding of the gathering. In addition, t</w:t>
      </w:r>
      <w:r w:rsidR="00360C16" w:rsidRPr="00957009">
        <w:rPr>
          <w:rFonts w:ascii="Times New Roman" w:hAnsi="Times New Roman" w:cs="Times New Roman"/>
        </w:rPr>
        <w:t xml:space="preserve">he officer </w:t>
      </w:r>
      <w:r w:rsidR="00E7192E">
        <w:rPr>
          <w:rFonts w:ascii="Times New Roman" w:hAnsi="Times New Roman" w:cs="Times New Roman"/>
        </w:rPr>
        <w:t>may</w:t>
      </w:r>
      <w:r w:rsidR="00360C16" w:rsidRPr="00957009">
        <w:rPr>
          <w:rFonts w:ascii="Times New Roman" w:hAnsi="Times New Roman" w:cs="Times New Roman"/>
        </w:rPr>
        <w:t xml:space="preserve"> also prohibit a gathering</w:t>
      </w:r>
      <w:r w:rsidR="00E7192E">
        <w:rPr>
          <w:rFonts w:ascii="Times New Roman" w:hAnsi="Times New Roman" w:cs="Times New Roman"/>
        </w:rPr>
        <w:t xml:space="preserve"> </w:t>
      </w:r>
      <w:r w:rsidR="00360C16" w:rsidRPr="00957009">
        <w:rPr>
          <w:rFonts w:ascii="Times New Roman" w:hAnsi="Times New Roman" w:cs="Times New Roman"/>
        </w:rPr>
        <w:t>if there is credible information that the proposed gathering w</w:t>
      </w:r>
      <w:r w:rsidR="00E7192E">
        <w:rPr>
          <w:rFonts w:ascii="Times New Roman" w:hAnsi="Times New Roman" w:cs="Times New Roman"/>
        </w:rPr>
        <w:t>ould result in serious disruption, injury or extensive damage that could not be prevented by police or traffic officers.</w:t>
      </w:r>
    </w:p>
    <w:p w14:paraId="47DA3F9B" w14:textId="1AC70A55" w:rsidR="006E74E6" w:rsidRPr="00957009" w:rsidRDefault="006E74E6" w:rsidP="001B1500">
      <w:pPr>
        <w:contextualSpacing/>
        <w:rPr>
          <w:rFonts w:ascii="Times New Roman" w:hAnsi="Times New Roman" w:cs="Times New Roman"/>
        </w:rPr>
      </w:pPr>
    </w:p>
    <w:p w14:paraId="7346E8CD" w14:textId="77777777" w:rsidR="001E1667" w:rsidRDefault="00CF30F1" w:rsidP="001B1500">
      <w:pPr>
        <w:contextualSpacing/>
        <w:rPr>
          <w:rFonts w:ascii="Times New Roman" w:hAnsi="Times New Roman" w:cs="Times New Roman"/>
        </w:rPr>
      </w:pPr>
      <w:r w:rsidRPr="00957009">
        <w:rPr>
          <w:rFonts w:ascii="Times New Roman" w:hAnsi="Times New Roman" w:cs="Times New Roman"/>
        </w:rPr>
        <w:t>Section 12(1)(a) of the Act makes it a criminal offence to convening a gathering without giving the requisite notice. The convenor is the only person criminally liable, but can raise a defence</w:t>
      </w:r>
      <w:r w:rsidR="00EF1F7D">
        <w:rPr>
          <w:rFonts w:ascii="Times New Roman" w:hAnsi="Times New Roman" w:cs="Times New Roman"/>
        </w:rPr>
        <w:t>, under section 12(1)(2),</w:t>
      </w:r>
      <w:r w:rsidRPr="00957009">
        <w:rPr>
          <w:rFonts w:ascii="Times New Roman" w:hAnsi="Times New Roman" w:cs="Times New Roman"/>
        </w:rPr>
        <w:t xml:space="preserve"> that the gathering was </w:t>
      </w:r>
      <w:proofErr w:type="gramStart"/>
      <w:r w:rsidRPr="00957009">
        <w:rPr>
          <w:rFonts w:ascii="Times New Roman" w:hAnsi="Times New Roman" w:cs="Times New Roman"/>
        </w:rPr>
        <w:t>spontaneous</w:t>
      </w:r>
      <w:proofErr w:type="gramEnd"/>
      <w:r w:rsidR="001E1667">
        <w:rPr>
          <w:rFonts w:ascii="Times New Roman" w:hAnsi="Times New Roman" w:cs="Times New Roman"/>
        </w:rPr>
        <w:t xml:space="preserve"> and i</w:t>
      </w:r>
      <w:r w:rsidR="006C7DEC" w:rsidRPr="00957009">
        <w:rPr>
          <w:rFonts w:ascii="Times New Roman" w:hAnsi="Times New Roman" w:cs="Times New Roman"/>
        </w:rPr>
        <w:t>t is not a criminal offence to attend a gathering for which no notice has been give</w:t>
      </w:r>
      <w:r w:rsidR="001E1667">
        <w:rPr>
          <w:rFonts w:ascii="Times New Roman" w:hAnsi="Times New Roman" w:cs="Times New Roman"/>
        </w:rPr>
        <w:t>n (although</w:t>
      </w:r>
      <w:r w:rsidR="006C7DEC" w:rsidRPr="00957009">
        <w:rPr>
          <w:rFonts w:ascii="Times New Roman" w:hAnsi="Times New Roman" w:cs="Times New Roman"/>
        </w:rPr>
        <w:t xml:space="preserve"> it is a criminal offence to attend a gathering that has been prohibited by the officer</w:t>
      </w:r>
      <w:r w:rsidR="001E1667">
        <w:rPr>
          <w:rFonts w:ascii="Times New Roman" w:hAnsi="Times New Roman" w:cs="Times New Roman"/>
        </w:rPr>
        <w:t>).</w:t>
      </w:r>
      <w:r w:rsidR="006C7DEC" w:rsidRPr="00957009">
        <w:rPr>
          <w:rFonts w:ascii="Times New Roman" w:hAnsi="Times New Roman" w:cs="Times New Roman"/>
        </w:rPr>
        <w:t xml:space="preserve"> </w:t>
      </w:r>
    </w:p>
    <w:p w14:paraId="69C8AFFA" w14:textId="77777777" w:rsidR="001E1667" w:rsidRDefault="001E1667" w:rsidP="001B1500">
      <w:pPr>
        <w:contextualSpacing/>
        <w:rPr>
          <w:rFonts w:ascii="Times New Roman" w:hAnsi="Times New Roman" w:cs="Times New Roman"/>
        </w:rPr>
      </w:pPr>
    </w:p>
    <w:p w14:paraId="7435748B" w14:textId="538C553D" w:rsidR="00AF04A3" w:rsidRPr="00957009" w:rsidRDefault="009B2CE1" w:rsidP="001B1500">
      <w:pPr>
        <w:contextualSpacing/>
        <w:rPr>
          <w:rFonts w:ascii="Times New Roman" w:hAnsi="Times New Roman" w:cs="Times New Roman"/>
        </w:rPr>
      </w:pPr>
      <w:r w:rsidRPr="00957009">
        <w:rPr>
          <w:rFonts w:ascii="Times New Roman" w:hAnsi="Times New Roman" w:cs="Times New Roman"/>
        </w:rPr>
        <w:lastRenderedPageBreak/>
        <w:t xml:space="preserve">At the criminal trial in the Magistrates Court, all the </w:t>
      </w:r>
      <w:r w:rsidR="001909FB">
        <w:rPr>
          <w:rFonts w:ascii="Times New Roman" w:hAnsi="Times New Roman" w:cs="Times New Roman"/>
        </w:rPr>
        <w:t xml:space="preserve">SJC </w:t>
      </w:r>
      <w:r w:rsidRPr="00957009">
        <w:rPr>
          <w:rFonts w:ascii="Times New Roman" w:hAnsi="Times New Roman" w:cs="Times New Roman"/>
        </w:rPr>
        <w:t>protesters pleaded not guilty</w:t>
      </w:r>
      <w:r w:rsidR="001909FB">
        <w:rPr>
          <w:rFonts w:ascii="Times New Roman" w:hAnsi="Times New Roman" w:cs="Times New Roman"/>
        </w:rPr>
        <w:t xml:space="preserve"> both</w:t>
      </w:r>
      <w:r w:rsidRPr="00957009">
        <w:rPr>
          <w:rFonts w:ascii="Times New Roman" w:hAnsi="Times New Roman" w:cs="Times New Roman"/>
        </w:rPr>
        <w:t xml:space="preserve"> to the main charge and the alternative charge. They argued that the Act does not make it an offence to attend a gathering to which notice had not been given, and they argued that section 12(1)(a) was unconstitutional to the extent that it criminalized the</w:t>
      </w:r>
      <w:r w:rsidR="001909FB">
        <w:rPr>
          <w:rFonts w:ascii="Times New Roman" w:hAnsi="Times New Roman" w:cs="Times New Roman"/>
        </w:rPr>
        <w:t xml:space="preserve"> actions of a convener in</w:t>
      </w:r>
      <w:r w:rsidRPr="00957009">
        <w:rPr>
          <w:rFonts w:ascii="Times New Roman" w:hAnsi="Times New Roman" w:cs="Times New Roman"/>
        </w:rPr>
        <w:t xml:space="preserve"> convening of a gathering without giving notice (para. 31). </w:t>
      </w:r>
      <w:r w:rsidR="00EB7224" w:rsidRPr="00957009">
        <w:rPr>
          <w:rFonts w:ascii="Times New Roman" w:hAnsi="Times New Roman" w:cs="Times New Roman"/>
        </w:rPr>
        <w:t>The Magistrates Court does not have jurisdiction to hear constitutional challenges and convicted</w:t>
      </w:r>
      <w:r w:rsidR="001909FB">
        <w:rPr>
          <w:rFonts w:ascii="Times New Roman" w:hAnsi="Times New Roman" w:cs="Times New Roman"/>
        </w:rPr>
        <w:t xml:space="preserve"> the</w:t>
      </w:r>
      <w:r w:rsidR="00EB7224" w:rsidRPr="00957009">
        <w:rPr>
          <w:rFonts w:ascii="Times New Roman" w:hAnsi="Times New Roman" w:cs="Times New Roman"/>
        </w:rPr>
        <w:t xml:space="preserve"> ten</w:t>
      </w:r>
      <w:r w:rsidR="001909FB">
        <w:rPr>
          <w:rFonts w:ascii="Times New Roman" w:hAnsi="Times New Roman" w:cs="Times New Roman"/>
        </w:rPr>
        <w:t xml:space="preserve"> </w:t>
      </w:r>
      <w:r w:rsidR="00EB7224" w:rsidRPr="00957009">
        <w:rPr>
          <w:rFonts w:ascii="Times New Roman" w:hAnsi="Times New Roman" w:cs="Times New Roman"/>
        </w:rPr>
        <w:t>protesters it had found were conveners of the gathering and acquitted the other eleven. In assessing the sentence, the Court acknowledged that the gathering had caused no harm to any person or damage to any property and said that the protesters “were at all times … respectful and peaceful” (para. 32). Accordingly, the Magistrate cautioned and discharged the ten convenors and granted them leave to appeal to the High Court to challenge the constitutionality of section 12(1)(a).</w:t>
      </w:r>
    </w:p>
    <w:p w14:paraId="4F6D24F9" w14:textId="293043EB" w:rsidR="009C7051" w:rsidRPr="00957009" w:rsidRDefault="009C7051" w:rsidP="001B1500">
      <w:pPr>
        <w:contextualSpacing/>
        <w:rPr>
          <w:rFonts w:ascii="Times New Roman" w:hAnsi="Times New Roman" w:cs="Times New Roman"/>
        </w:rPr>
      </w:pPr>
    </w:p>
    <w:p w14:paraId="3BAA5195" w14:textId="1052DBF4" w:rsidR="009C7051" w:rsidRPr="00957009" w:rsidRDefault="009C7051" w:rsidP="001B1500">
      <w:pPr>
        <w:contextualSpacing/>
        <w:rPr>
          <w:rFonts w:ascii="Times New Roman" w:hAnsi="Times New Roman" w:cs="Times New Roman"/>
        </w:rPr>
      </w:pPr>
      <w:r w:rsidRPr="00957009">
        <w:rPr>
          <w:rFonts w:ascii="Times New Roman" w:hAnsi="Times New Roman" w:cs="Times New Roman"/>
        </w:rPr>
        <w:t xml:space="preserve">In the High Court, </w:t>
      </w:r>
      <w:proofErr w:type="spellStart"/>
      <w:r w:rsidR="00B00972">
        <w:rPr>
          <w:rFonts w:ascii="Times New Roman" w:hAnsi="Times New Roman" w:cs="Times New Roman"/>
        </w:rPr>
        <w:t>Phumeza</w:t>
      </w:r>
      <w:proofErr w:type="spellEnd"/>
      <w:r w:rsidR="00B00972">
        <w:rPr>
          <w:rFonts w:ascii="Times New Roman" w:hAnsi="Times New Roman" w:cs="Times New Roman"/>
        </w:rPr>
        <w:t xml:space="preserve"> </w:t>
      </w:r>
      <w:proofErr w:type="spellStart"/>
      <w:r w:rsidR="00B00972">
        <w:rPr>
          <w:rFonts w:ascii="Times New Roman" w:hAnsi="Times New Roman" w:cs="Times New Roman"/>
        </w:rPr>
        <w:t>Mlungwana</w:t>
      </w:r>
      <w:proofErr w:type="spellEnd"/>
      <w:r w:rsidR="00B00972">
        <w:rPr>
          <w:rFonts w:ascii="Times New Roman" w:hAnsi="Times New Roman" w:cs="Times New Roman"/>
        </w:rPr>
        <w:t xml:space="preserve"> and </w:t>
      </w:r>
      <w:r w:rsidRPr="00957009">
        <w:rPr>
          <w:rFonts w:ascii="Times New Roman" w:hAnsi="Times New Roman" w:cs="Times New Roman"/>
        </w:rPr>
        <w:t>the</w:t>
      </w:r>
      <w:r w:rsidR="00B00972">
        <w:rPr>
          <w:rFonts w:ascii="Times New Roman" w:hAnsi="Times New Roman" w:cs="Times New Roman"/>
        </w:rPr>
        <w:t xml:space="preserve"> other</w:t>
      </w:r>
      <w:r w:rsidRPr="00957009">
        <w:rPr>
          <w:rFonts w:ascii="Times New Roman" w:hAnsi="Times New Roman" w:cs="Times New Roman"/>
        </w:rPr>
        <w:t xml:space="preserve"> SJC members argued that section 12(1)(a) constitutes an unjustifiable limitation on the right to freedom of assembly, protected by section 17 of the Constitution</w:t>
      </w:r>
      <w:r w:rsidR="002E0B62" w:rsidRPr="00957009">
        <w:rPr>
          <w:rFonts w:ascii="Times New Roman" w:hAnsi="Times New Roman" w:cs="Times New Roman"/>
        </w:rPr>
        <w:t xml:space="preserve"> a</w:t>
      </w:r>
      <w:r w:rsidR="001909FB">
        <w:rPr>
          <w:rFonts w:ascii="Times New Roman" w:hAnsi="Times New Roman" w:cs="Times New Roman"/>
        </w:rPr>
        <w:t xml:space="preserve">s it </w:t>
      </w:r>
      <w:r w:rsidR="002E0B62" w:rsidRPr="00957009">
        <w:rPr>
          <w:rFonts w:ascii="Times New Roman" w:hAnsi="Times New Roman" w:cs="Times New Roman"/>
        </w:rPr>
        <w:t xml:space="preserve">“dissuades those minded to convene gatherings from venting their frustrations or expressing their views because of the chilling effect this section has on the exercise of the right to assemble” (para. 34). </w:t>
      </w:r>
      <w:r w:rsidR="00F87E01" w:rsidRPr="00957009">
        <w:rPr>
          <w:rFonts w:ascii="Times New Roman" w:hAnsi="Times New Roman" w:cs="Times New Roman"/>
        </w:rPr>
        <w:t xml:space="preserve">The High Court accepted the SJC’s argument, holding that the provision limited the right because of “the chilling and deterring effect criminalisation had on the exercise of the right to assemble” and held that the limitation was not justifiable (para. 36). </w:t>
      </w:r>
      <w:r w:rsidR="005E0491" w:rsidRPr="00957009">
        <w:rPr>
          <w:rFonts w:ascii="Times New Roman" w:hAnsi="Times New Roman" w:cs="Times New Roman"/>
        </w:rPr>
        <w:t>The analysis of this judgment can be found here.</w:t>
      </w:r>
    </w:p>
    <w:p w14:paraId="7D78D9A3" w14:textId="20424BEF" w:rsidR="005E0491" w:rsidRPr="00957009" w:rsidRDefault="005E0491" w:rsidP="001B1500">
      <w:pPr>
        <w:contextualSpacing/>
        <w:rPr>
          <w:rFonts w:ascii="Times New Roman" w:hAnsi="Times New Roman" w:cs="Times New Roman"/>
        </w:rPr>
      </w:pPr>
    </w:p>
    <w:p w14:paraId="17314A3B" w14:textId="41196C66" w:rsidR="00FC330E" w:rsidRPr="00957009" w:rsidRDefault="00E24078" w:rsidP="001B1500">
      <w:pPr>
        <w:contextualSpacing/>
        <w:rPr>
          <w:rFonts w:ascii="Times New Roman" w:hAnsi="Times New Roman" w:cs="Times New Roman"/>
        </w:rPr>
      </w:pPr>
      <w:r w:rsidRPr="00957009">
        <w:rPr>
          <w:rFonts w:ascii="Times New Roman" w:hAnsi="Times New Roman" w:cs="Times New Roman"/>
        </w:rPr>
        <w:t xml:space="preserve">As is required, the SJC then approached the Constitutional Court for confirmation of the finding of unconstitutionality. Three </w:t>
      </w:r>
      <w:r w:rsidRPr="00957009">
        <w:rPr>
          <w:rFonts w:ascii="Times New Roman" w:hAnsi="Times New Roman" w:cs="Times New Roman"/>
          <w:i/>
        </w:rPr>
        <w:t xml:space="preserve">amici curiae </w:t>
      </w:r>
      <w:r w:rsidRPr="00957009">
        <w:rPr>
          <w:rFonts w:ascii="Times New Roman" w:hAnsi="Times New Roman" w:cs="Times New Roman"/>
        </w:rPr>
        <w:t>– the non-governmental organisation</w:t>
      </w:r>
      <w:r w:rsidR="001909FB">
        <w:rPr>
          <w:rFonts w:ascii="Times New Roman" w:hAnsi="Times New Roman" w:cs="Times New Roman"/>
        </w:rPr>
        <w:t>s</w:t>
      </w:r>
      <w:r w:rsidRPr="00957009">
        <w:rPr>
          <w:rFonts w:ascii="Times New Roman" w:hAnsi="Times New Roman" w:cs="Times New Roman"/>
        </w:rPr>
        <w:t xml:space="preserve"> Equal Education</w:t>
      </w:r>
      <w:r w:rsidR="001909FB">
        <w:rPr>
          <w:rFonts w:ascii="Times New Roman" w:hAnsi="Times New Roman" w:cs="Times New Roman"/>
        </w:rPr>
        <w:t xml:space="preserve"> and</w:t>
      </w:r>
      <w:r w:rsidRPr="00957009">
        <w:rPr>
          <w:rFonts w:ascii="Times New Roman" w:hAnsi="Times New Roman" w:cs="Times New Roman"/>
        </w:rPr>
        <w:t xml:space="preserve"> the Right2Know Campaign</w:t>
      </w:r>
      <w:r w:rsidR="001909FB">
        <w:rPr>
          <w:rFonts w:ascii="Times New Roman" w:hAnsi="Times New Roman" w:cs="Times New Roman"/>
        </w:rPr>
        <w:t>,</w:t>
      </w:r>
      <w:r w:rsidRPr="00957009">
        <w:rPr>
          <w:rFonts w:ascii="Times New Roman" w:hAnsi="Times New Roman" w:cs="Times New Roman"/>
        </w:rPr>
        <w:t xml:space="preserve"> and the United Nations Special Rapporteur on the rights to freedom of peaceful assembly and association –</w:t>
      </w:r>
      <w:r w:rsidR="008E1708">
        <w:rPr>
          <w:rFonts w:ascii="Times New Roman" w:hAnsi="Times New Roman" w:cs="Times New Roman"/>
        </w:rPr>
        <w:t xml:space="preserve"> </w:t>
      </w:r>
      <w:r w:rsidRPr="00957009">
        <w:rPr>
          <w:rFonts w:ascii="Times New Roman" w:hAnsi="Times New Roman" w:cs="Times New Roman"/>
        </w:rPr>
        <w:t>were admitted</w:t>
      </w:r>
      <w:bookmarkStart w:id="0" w:name="_GoBack"/>
      <w:bookmarkEnd w:id="0"/>
      <w:r w:rsidRPr="00957009">
        <w:rPr>
          <w:rFonts w:ascii="Times New Roman" w:hAnsi="Times New Roman" w:cs="Times New Roman"/>
        </w:rPr>
        <w:t>.</w:t>
      </w:r>
      <w:r w:rsidR="00450818" w:rsidRPr="00957009">
        <w:rPr>
          <w:rFonts w:ascii="Times New Roman" w:hAnsi="Times New Roman" w:cs="Times New Roman"/>
        </w:rPr>
        <w:t xml:space="preserve"> The State opposed the application and sought leave to appeal the finding of unconstitutionality before the Constitutional Court</w:t>
      </w:r>
      <w:r w:rsidR="00FC330E" w:rsidRPr="00957009">
        <w:rPr>
          <w:rFonts w:ascii="Times New Roman" w:hAnsi="Times New Roman" w:cs="Times New Roman"/>
        </w:rPr>
        <w:t xml:space="preserve"> (para. 40)</w:t>
      </w:r>
      <w:r w:rsidR="00450818" w:rsidRPr="00957009">
        <w:rPr>
          <w:rFonts w:ascii="Times New Roman" w:hAnsi="Times New Roman" w:cs="Times New Roman"/>
        </w:rPr>
        <w:t>.</w:t>
      </w:r>
    </w:p>
    <w:p w14:paraId="7D19EE46" w14:textId="15693BD8" w:rsidR="00DE33D1" w:rsidRPr="00957009" w:rsidRDefault="00DE33D1" w:rsidP="001B1500">
      <w:pPr>
        <w:contextualSpacing/>
        <w:rPr>
          <w:rFonts w:ascii="Times New Roman" w:hAnsi="Times New Roman" w:cs="Times New Roman"/>
        </w:rPr>
      </w:pPr>
    </w:p>
    <w:p w14:paraId="1A450B9B" w14:textId="77777777" w:rsidR="00DE33D1" w:rsidRPr="00957009" w:rsidRDefault="00DE33D1" w:rsidP="001B1500">
      <w:pPr>
        <w:contextualSpacing/>
        <w:rPr>
          <w:rFonts w:ascii="Times New Roman" w:hAnsi="Times New Roman" w:cs="Times New Roman"/>
        </w:rPr>
      </w:pPr>
    </w:p>
    <w:p w14:paraId="4BB78D01" w14:textId="1DDCA89D" w:rsidR="00DE33D1" w:rsidRPr="00957009" w:rsidRDefault="00DE33D1" w:rsidP="001B1500">
      <w:pPr>
        <w:contextualSpacing/>
        <w:rPr>
          <w:rFonts w:ascii="Times New Roman" w:hAnsi="Times New Roman" w:cs="Times New Roman"/>
        </w:rPr>
      </w:pPr>
      <w:r w:rsidRPr="00957009">
        <w:rPr>
          <w:rFonts w:ascii="Times New Roman" w:hAnsi="Times New Roman" w:cs="Times New Roman"/>
        </w:rPr>
        <w:t>Decision Overview:</w:t>
      </w:r>
    </w:p>
    <w:p w14:paraId="34EA4806" w14:textId="77777777" w:rsidR="00DE33D1" w:rsidRPr="00957009" w:rsidRDefault="00DE33D1" w:rsidP="001B1500">
      <w:pPr>
        <w:contextualSpacing/>
        <w:rPr>
          <w:rFonts w:ascii="Times New Roman" w:hAnsi="Times New Roman" w:cs="Times New Roman"/>
        </w:rPr>
      </w:pPr>
    </w:p>
    <w:p w14:paraId="3A34742C" w14:textId="525A991F" w:rsidR="00BC3EA2" w:rsidRPr="00957009" w:rsidRDefault="00A71488" w:rsidP="001B1500">
      <w:pPr>
        <w:contextualSpacing/>
        <w:rPr>
          <w:rFonts w:ascii="Times New Roman" w:hAnsi="Times New Roman" w:cs="Times New Roman"/>
        </w:rPr>
      </w:pPr>
      <w:proofErr w:type="spellStart"/>
      <w:r w:rsidRPr="00957009">
        <w:rPr>
          <w:rFonts w:ascii="Times New Roman" w:hAnsi="Times New Roman" w:cs="Times New Roman"/>
        </w:rPr>
        <w:t>Petse</w:t>
      </w:r>
      <w:proofErr w:type="spellEnd"/>
      <w:r w:rsidRPr="00957009">
        <w:rPr>
          <w:rFonts w:ascii="Times New Roman" w:hAnsi="Times New Roman" w:cs="Times New Roman"/>
        </w:rPr>
        <w:t xml:space="preserve"> AJ delivered the judgment of the unanimous Constitutional Court. </w:t>
      </w:r>
      <w:r w:rsidR="00C701D3" w:rsidRPr="00957009">
        <w:rPr>
          <w:rFonts w:ascii="Times New Roman" w:hAnsi="Times New Roman" w:cs="Times New Roman"/>
        </w:rPr>
        <w:t xml:space="preserve">The central issue for the Constitutional Court was whether </w:t>
      </w:r>
      <w:r w:rsidR="00DA5449" w:rsidRPr="00957009">
        <w:rPr>
          <w:rFonts w:ascii="Times New Roman" w:hAnsi="Times New Roman" w:cs="Times New Roman"/>
        </w:rPr>
        <w:t xml:space="preserve">section 12(1)(a) </w:t>
      </w:r>
      <w:r w:rsidR="00E33F42" w:rsidRPr="00957009">
        <w:rPr>
          <w:rFonts w:ascii="Times New Roman" w:hAnsi="Times New Roman" w:cs="Times New Roman"/>
        </w:rPr>
        <w:t xml:space="preserve">of the Regulation of Gatherings Act was a justifiable limitation to the right to freedom of assembly. </w:t>
      </w:r>
      <w:proofErr w:type="spellStart"/>
      <w:r w:rsidR="00B00972">
        <w:rPr>
          <w:rFonts w:ascii="Times New Roman" w:hAnsi="Times New Roman" w:cs="Times New Roman"/>
        </w:rPr>
        <w:t>Petse</w:t>
      </w:r>
      <w:proofErr w:type="spellEnd"/>
      <w:r w:rsidR="00B00972">
        <w:rPr>
          <w:rFonts w:ascii="Times New Roman" w:hAnsi="Times New Roman" w:cs="Times New Roman"/>
        </w:rPr>
        <w:t xml:space="preserve"> characterized </w:t>
      </w:r>
      <w:r w:rsidR="00E33F42" w:rsidRPr="00957009">
        <w:rPr>
          <w:rFonts w:ascii="Times New Roman" w:hAnsi="Times New Roman" w:cs="Times New Roman"/>
        </w:rPr>
        <w:t>the issue as whether the</w:t>
      </w:r>
      <w:r w:rsidR="00DA5449" w:rsidRPr="00957009">
        <w:rPr>
          <w:rFonts w:ascii="Times New Roman" w:hAnsi="Times New Roman" w:cs="Times New Roman"/>
        </w:rPr>
        <w:t xml:space="preserve"> </w:t>
      </w:r>
      <w:r w:rsidR="00C701D3" w:rsidRPr="00957009">
        <w:rPr>
          <w:rFonts w:ascii="Times New Roman" w:hAnsi="Times New Roman" w:cs="Times New Roman"/>
        </w:rPr>
        <w:t>“criminali</w:t>
      </w:r>
      <w:r w:rsidR="00B00972">
        <w:rPr>
          <w:rFonts w:ascii="Times New Roman" w:hAnsi="Times New Roman" w:cs="Times New Roman"/>
        </w:rPr>
        <w:t>s</w:t>
      </w:r>
      <w:r w:rsidR="00C701D3" w:rsidRPr="00957009">
        <w:rPr>
          <w:rFonts w:ascii="Times New Roman" w:hAnsi="Times New Roman" w:cs="Times New Roman"/>
        </w:rPr>
        <w:t xml:space="preserve">ation of a convener’s failure, wittingly or unwittingly, either to give notice or give adequate notice to a local municipality when convening a gathering of more than 15 persons … [was] constitutionally defensible” (para. 1). </w:t>
      </w:r>
    </w:p>
    <w:p w14:paraId="5B587AA2" w14:textId="6C658439" w:rsidR="00A71488" w:rsidRPr="00957009" w:rsidRDefault="00A71488" w:rsidP="001B1500">
      <w:pPr>
        <w:contextualSpacing/>
        <w:rPr>
          <w:rFonts w:ascii="Times New Roman" w:hAnsi="Times New Roman" w:cs="Times New Roman"/>
        </w:rPr>
      </w:pPr>
    </w:p>
    <w:p w14:paraId="4CDC2B83" w14:textId="296EDED0" w:rsidR="00A71488" w:rsidRPr="00957009" w:rsidRDefault="00A71488" w:rsidP="001B1500">
      <w:pPr>
        <w:contextualSpacing/>
        <w:rPr>
          <w:rFonts w:ascii="Times New Roman" w:hAnsi="Times New Roman" w:cs="Times New Roman"/>
        </w:rPr>
      </w:pPr>
      <w:proofErr w:type="spellStart"/>
      <w:r w:rsidRPr="00957009">
        <w:rPr>
          <w:rFonts w:ascii="Times New Roman" w:hAnsi="Times New Roman" w:cs="Times New Roman"/>
        </w:rPr>
        <w:t>Mlungwana</w:t>
      </w:r>
      <w:proofErr w:type="spellEnd"/>
      <w:r w:rsidRPr="00957009">
        <w:rPr>
          <w:rFonts w:ascii="Times New Roman" w:hAnsi="Times New Roman" w:cs="Times New Roman"/>
        </w:rPr>
        <w:t xml:space="preserve"> argued that the criminalization of the failure to give notice was “unconstitutional because section 12(1)(a) criminalises the convening of peaceful gatherings simply by reason of the fact that either no notice was </w:t>
      </w:r>
      <w:proofErr w:type="gramStart"/>
      <w:r w:rsidRPr="00957009">
        <w:rPr>
          <w:rFonts w:ascii="Times New Roman" w:hAnsi="Times New Roman" w:cs="Times New Roman"/>
        </w:rPr>
        <w:t>given</w:t>
      </w:r>
      <w:proofErr w:type="gramEnd"/>
      <w:r w:rsidRPr="00957009">
        <w:rPr>
          <w:rFonts w:ascii="Times New Roman" w:hAnsi="Times New Roman" w:cs="Times New Roman"/>
        </w:rPr>
        <w:t xml:space="preserve"> or inadequate notice was given” (para. 4).</w:t>
      </w:r>
    </w:p>
    <w:p w14:paraId="4C92BD06" w14:textId="579B0BC9" w:rsidR="00A231D1" w:rsidRDefault="00A71488" w:rsidP="00A231D1">
      <w:pPr>
        <w:pStyle w:val="NormalWeb"/>
        <w:contextualSpacing/>
      </w:pPr>
      <w:r w:rsidRPr="00957009">
        <w:t xml:space="preserve">The State argued that section 12(1)(a) was “mere regulation” and so there was no limitation to any right (para. 5). In the alternative, the State argued that if a limitation of a right </w:t>
      </w:r>
      <w:r w:rsidR="000F630D">
        <w:t>wa</w:t>
      </w:r>
      <w:r w:rsidRPr="00957009">
        <w:t xml:space="preserve">s found to exist that limitation </w:t>
      </w:r>
      <w:r w:rsidR="000F630D">
        <w:t>would be</w:t>
      </w:r>
      <w:r w:rsidRPr="00957009">
        <w:t xml:space="preserve"> justifiable (para. 5).</w:t>
      </w:r>
      <w:r w:rsidR="00A231D1">
        <w:t xml:space="preserve"> </w:t>
      </w:r>
      <w:r w:rsidR="00A231D1">
        <w:t>The State’s</w:t>
      </w:r>
      <w:r w:rsidR="00A231D1">
        <w:t xml:space="preserve"> central</w:t>
      </w:r>
      <w:r w:rsidR="00A231D1">
        <w:t xml:space="preserve"> argument focused on the </w:t>
      </w:r>
      <w:r w:rsidR="008D1AC9">
        <w:t>way in which</w:t>
      </w:r>
      <w:r w:rsidR="00A231D1">
        <w:t xml:space="preserve"> crime and punishment</w:t>
      </w:r>
      <w:r w:rsidR="008D1AC9">
        <w:t xml:space="preserve"> served as</w:t>
      </w:r>
      <w:r w:rsidR="00A231D1">
        <w:t xml:space="preserve"> a</w:t>
      </w:r>
      <w:r w:rsidR="008D1AC9">
        <w:t xml:space="preserve"> deterrent and so was</w:t>
      </w:r>
      <w:r w:rsidR="00A231D1">
        <w:t xml:space="preserve"> a way to incentivise the giving of notice – which in turn, the State argued, lowered the risk of violence and criminality occurring at the gathering (para. 81).</w:t>
      </w:r>
    </w:p>
    <w:p w14:paraId="2C88C0AF" w14:textId="46191DA2" w:rsidR="00A71488" w:rsidRDefault="00A71488" w:rsidP="001B1500">
      <w:pPr>
        <w:contextualSpacing/>
        <w:rPr>
          <w:rFonts w:ascii="Times New Roman" w:hAnsi="Times New Roman" w:cs="Times New Roman"/>
        </w:rPr>
      </w:pPr>
    </w:p>
    <w:p w14:paraId="3B26D3AF" w14:textId="5B93BD90" w:rsidR="00401BCB" w:rsidRDefault="00401BCB" w:rsidP="001B1500">
      <w:pPr>
        <w:contextualSpacing/>
        <w:rPr>
          <w:rFonts w:ascii="Times New Roman" w:hAnsi="Times New Roman" w:cs="Times New Roman"/>
        </w:rPr>
      </w:pPr>
    </w:p>
    <w:p w14:paraId="4DDC17C0" w14:textId="5FAE23DF" w:rsidR="00401BCB" w:rsidRPr="00957009" w:rsidRDefault="007A74E2" w:rsidP="001B1500">
      <w:pPr>
        <w:contextualSpacing/>
        <w:rPr>
          <w:rFonts w:ascii="Times New Roman" w:hAnsi="Times New Roman" w:cs="Times New Roman"/>
        </w:rPr>
      </w:pPr>
      <w:r>
        <w:rPr>
          <w:rFonts w:ascii="Times New Roman" w:hAnsi="Times New Roman" w:cs="Times New Roman"/>
        </w:rPr>
        <w:lastRenderedPageBreak/>
        <w:t xml:space="preserve">Although all three </w:t>
      </w:r>
      <w:r>
        <w:rPr>
          <w:rFonts w:ascii="Times New Roman" w:hAnsi="Times New Roman" w:cs="Times New Roman"/>
          <w:i/>
        </w:rPr>
        <w:t xml:space="preserve">amici </w:t>
      </w:r>
      <w:r>
        <w:rPr>
          <w:rFonts w:ascii="Times New Roman" w:hAnsi="Times New Roman" w:cs="Times New Roman"/>
        </w:rPr>
        <w:t xml:space="preserve">aligned themselves with </w:t>
      </w:r>
      <w:proofErr w:type="spellStart"/>
      <w:r>
        <w:rPr>
          <w:rFonts w:ascii="Times New Roman" w:hAnsi="Times New Roman" w:cs="Times New Roman"/>
        </w:rPr>
        <w:t>Mlungwana’s</w:t>
      </w:r>
      <w:proofErr w:type="spellEnd"/>
      <w:r>
        <w:rPr>
          <w:rFonts w:ascii="Times New Roman" w:hAnsi="Times New Roman" w:cs="Times New Roman"/>
        </w:rPr>
        <w:t xml:space="preserve"> arguments, one of them,</w:t>
      </w:r>
      <w:r>
        <w:rPr>
          <w:rFonts w:ascii="Times New Roman" w:hAnsi="Times New Roman" w:cs="Times New Roman"/>
          <w:i/>
        </w:rPr>
        <w:t xml:space="preserve"> </w:t>
      </w:r>
      <w:r w:rsidR="00401BCB">
        <w:rPr>
          <w:rFonts w:ascii="Times New Roman" w:hAnsi="Times New Roman" w:cs="Times New Roman"/>
        </w:rPr>
        <w:t>Equal Education</w:t>
      </w:r>
      <w:r>
        <w:rPr>
          <w:rFonts w:ascii="Times New Roman" w:hAnsi="Times New Roman" w:cs="Times New Roman"/>
        </w:rPr>
        <w:t>, specifically emphasized</w:t>
      </w:r>
      <w:r w:rsidR="00401BCB">
        <w:rPr>
          <w:rFonts w:ascii="Times New Roman" w:hAnsi="Times New Roman" w:cs="Times New Roman"/>
        </w:rPr>
        <w:t xml:space="preserve"> that “the right to freedom of assembly has distinct importance for children” because they cannot vote and so “assembly, demonstrating, and picketing are integral to their involvement in the political process (para. 72). </w:t>
      </w:r>
    </w:p>
    <w:p w14:paraId="3F5A4789" w14:textId="05772BB7" w:rsidR="00A71488" w:rsidRPr="00957009" w:rsidRDefault="00A71488" w:rsidP="001B1500">
      <w:pPr>
        <w:contextualSpacing/>
        <w:rPr>
          <w:rFonts w:ascii="Times New Roman" w:hAnsi="Times New Roman" w:cs="Times New Roman"/>
        </w:rPr>
      </w:pPr>
    </w:p>
    <w:p w14:paraId="133A991F" w14:textId="22534F62" w:rsidR="000A592B" w:rsidRPr="00957009" w:rsidRDefault="00D56207" w:rsidP="00E42479">
      <w:pPr>
        <w:pStyle w:val="NormalWeb"/>
        <w:contextualSpacing/>
      </w:pPr>
      <w:r>
        <w:t>S</w:t>
      </w:r>
      <w:r w:rsidR="007A74E2" w:rsidRPr="00957009">
        <w:t>ection 17 of the Constitution</w:t>
      </w:r>
      <w:r w:rsidR="007A74E2">
        <w:t xml:space="preserve"> stipulates</w:t>
      </w:r>
      <w:r w:rsidR="000A592B" w:rsidRPr="00957009">
        <w:t xml:space="preserve"> that “</w:t>
      </w:r>
      <w:r w:rsidR="007A74E2">
        <w:t>[e]</w:t>
      </w:r>
      <w:proofErr w:type="spellStart"/>
      <w:r w:rsidR="000A592B" w:rsidRPr="00957009">
        <w:t>veryone</w:t>
      </w:r>
      <w:proofErr w:type="spellEnd"/>
      <w:r w:rsidR="000A592B" w:rsidRPr="00957009">
        <w:t xml:space="preserve"> has the right to assemble, demonstrate, picket, and present petitions” and </w:t>
      </w:r>
      <w:proofErr w:type="spellStart"/>
      <w:r>
        <w:t>Petse</w:t>
      </w:r>
      <w:proofErr w:type="spellEnd"/>
      <w:r>
        <w:t xml:space="preserve"> highlighted that</w:t>
      </w:r>
      <w:r w:rsidR="000A592B" w:rsidRPr="00957009">
        <w:t xml:space="preserve"> the “only internal qualifier is that anyone exercising this right must do so peacefully and unarmed” (para. 43). </w:t>
      </w:r>
      <w:r w:rsidR="00E42479">
        <w:t>The Judge clarified</w:t>
      </w:r>
      <w:r w:rsidR="00E42479">
        <w:t xml:space="preserve"> that the right under section 17 is only to assemble peacefully</w:t>
      </w:r>
      <w:r w:rsidR="00E42479">
        <w:t xml:space="preserve"> and so</w:t>
      </w:r>
      <w:r w:rsidR="00E42479">
        <w:t xml:space="preserve"> “it is only when those convening and participating in a </w:t>
      </w:r>
      <w:proofErr w:type="gramStart"/>
      <w:r w:rsidR="00E42479">
        <w:t>gathering harbour intentions</w:t>
      </w:r>
      <w:proofErr w:type="gramEnd"/>
      <w:r w:rsidR="00E42479">
        <w:t xml:space="preserve"> of acting violently will they forfeit the right” (para. 55). </w:t>
      </w:r>
    </w:p>
    <w:p w14:paraId="06635E80" w14:textId="6DF4A64F" w:rsidR="000A592B" w:rsidRPr="00957009" w:rsidRDefault="0044657B" w:rsidP="001B1500">
      <w:pPr>
        <w:contextualSpacing/>
        <w:rPr>
          <w:rFonts w:ascii="Times New Roman" w:hAnsi="Times New Roman" w:cs="Times New Roman"/>
        </w:rPr>
      </w:pPr>
      <w:proofErr w:type="spellStart"/>
      <w:r w:rsidRPr="00957009">
        <w:rPr>
          <w:rFonts w:ascii="Times New Roman" w:hAnsi="Times New Roman" w:cs="Times New Roman"/>
        </w:rPr>
        <w:t>Petse</w:t>
      </w:r>
      <w:proofErr w:type="spellEnd"/>
      <w:r w:rsidRPr="00957009">
        <w:rPr>
          <w:rFonts w:ascii="Times New Roman" w:hAnsi="Times New Roman" w:cs="Times New Roman"/>
        </w:rPr>
        <w:t xml:space="preserve"> rejected the State’s argument that</w:t>
      </w:r>
      <w:r w:rsidR="001C1A9E">
        <w:rPr>
          <w:rFonts w:ascii="Times New Roman" w:hAnsi="Times New Roman" w:cs="Times New Roman"/>
        </w:rPr>
        <w:t xml:space="preserve"> </w:t>
      </w:r>
      <w:r w:rsidRPr="00957009">
        <w:rPr>
          <w:rFonts w:ascii="Times New Roman" w:hAnsi="Times New Roman" w:cs="Times New Roman"/>
        </w:rPr>
        <w:t xml:space="preserve">section 12(1)(a) was mere regulation and therefore not a limitation of the right. The </w:t>
      </w:r>
      <w:r w:rsidR="001C1A9E">
        <w:rPr>
          <w:rFonts w:ascii="Times New Roman" w:hAnsi="Times New Roman" w:cs="Times New Roman"/>
        </w:rPr>
        <w:t>J</w:t>
      </w:r>
      <w:r w:rsidRPr="00957009">
        <w:rPr>
          <w:rFonts w:ascii="Times New Roman" w:hAnsi="Times New Roman" w:cs="Times New Roman"/>
        </w:rPr>
        <w:t>udge note</w:t>
      </w:r>
      <w:r w:rsidR="00294DD5" w:rsidRPr="00957009">
        <w:rPr>
          <w:rFonts w:ascii="Times New Roman" w:hAnsi="Times New Roman" w:cs="Times New Roman"/>
        </w:rPr>
        <w:t xml:space="preserve">d </w:t>
      </w:r>
      <w:r w:rsidRPr="00957009">
        <w:rPr>
          <w:rFonts w:ascii="Times New Roman" w:hAnsi="Times New Roman" w:cs="Times New Roman"/>
        </w:rPr>
        <w:t xml:space="preserve">that </w:t>
      </w:r>
      <w:r w:rsidR="00294DD5" w:rsidRPr="00957009">
        <w:rPr>
          <w:rFonts w:ascii="Times New Roman" w:hAnsi="Times New Roman" w:cs="Times New Roman"/>
        </w:rPr>
        <w:t>in</w:t>
      </w:r>
      <w:r w:rsidR="001C1A9E">
        <w:rPr>
          <w:rFonts w:ascii="Times New Roman" w:hAnsi="Times New Roman" w:cs="Times New Roman"/>
        </w:rPr>
        <w:t xml:space="preserve"> the Constitutional Court case of </w:t>
      </w:r>
      <w:proofErr w:type="spellStart"/>
      <w:r w:rsidR="001C1A9E">
        <w:rPr>
          <w:rFonts w:ascii="Times New Roman" w:hAnsi="Times New Roman" w:cs="Times New Roman"/>
          <w:i/>
        </w:rPr>
        <w:t>Satawu</w:t>
      </w:r>
      <w:proofErr w:type="spellEnd"/>
      <w:r w:rsidR="001C1A9E">
        <w:rPr>
          <w:rFonts w:ascii="Times New Roman" w:hAnsi="Times New Roman" w:cs="Times New Roman"/>
          <w:i/>
        </w:rPr>
        <w:t xml:space="preserve"> v. </w:t>
      </w:r>
      <w:proofErr w:type="spellStart"/>
      <w:r w:rsidR="001C1A9E">
        <w:rPr>
          <w:rFonts w:ascii="Times New Roman" w:hAnsi="Times New Roman" w:cs="Times New Roman"/>
          <w:i/>
        </w:rPr>
        <w:t>Garvas</w:t>
      </w:r>
      <w:proofErr w:type="spellEnd"/>
      <w:r w:rsidR="001C1A9E">
        <w:rPr>
          <w:rFonts w:ascii="Times New Roman" w:hAnsi="Times New Roman" w:cs="Times New Roman"/>
          <w:i/>
        </w:rPr>
        <w:t xml:space="preserve"> </w:t>
      </w:r>
      <w:r w:rsidR="001C1A9E">
        <w:rPr>
          <w:rFonts w:ascii="Times New Roman" w:hAnsi="Times New Roman" w:cs="Times New Roman"/>
        </w:rPr>
        <w:t xml:space="preserve">2013 (1) SA 83 (CC), </w:t>
      </w:r>
      <w:r w:rsidR="00294DD5" w:rsidRPr="00957009">
        <w:rPr>
          <w:rFonts w:ascii="Times New Roman" w:hAnsi="Times New Roman" w:cs="Times New Roman"/>
        </w:rPr>
        <w:t xml:space="preserve">the Constitutional Court held that “deterring the exercise of the right in section 17 limits that right”, and so </w:t>
      </w:r>
      <w:proofErr w:type="spellStart"/>
      <w:r w:rsidR="00294DD5" w:rsidRPr="00957009">
        <w:rPr>
          <w:rFonts w:ascii="Times New Roman" w:hAnsi="Times New Roman" w:cs="Times New Roman"/>
        </w:rPr>
        <w:t>Petse</w:t>
      </w:r>
      <w:proofErr w:type="spellEnd"/>
      <w:r w:rsidR="00294DD5" w:rsidRPr="00957009">
        <w:rPr>
          <w:rFonts w:ascii="Times New Roman" w:hAnsi="Times New Roman" w:cs="Times New Roman"/>
        </w:rPr>
        <w:t xml:space="preserve"> held that section 12(1)(a) </w:t>
      </w:r>
      <w:r w:rsidR="001C1A9E">
        <w:rPr>
          <w:rFonts w:ascii="Times New Roman" w:hAnsi="Times New Roman" w:cs="Times New Roman"/>
        </w:rPr>
        <w:t xml:space="preserve">could not be </w:t>
      </w:r>
      <w:r w:rsidR="00294DD5" w:rsidRPr="00957009">
        <w:rPr>
          <w:rFonts w:ascii="Times New Roman" w:hAnsi="Times New Roman" w:cs="Times New Roman"/>
          <w:i/>
        </w:rPr>
        <w:t>mere regulation</w:t>
      </w:r>
      <w:r w:rsidR="00294DD5" w:rsidRPr="00957009">
        <w:rPr>
          <w:rFonts w:ascii="Times New Roman" w:hAnsi="Times New Roman" w:cs="Times New Roman"/>
        </w:rPr>
        <w:t xml:space="preserve"> </w:t>
      </w:r>
      <w:r w:rsidR="0001099B" w:rsidRPr="00957009">
        <w:rPr>
          <w:rFonts w:ascii="Times New Roman" w:hAnsi="Times New Roman" w:cs="Times New Roman"/>
        </w:rPr>
        <w:t xml:space="preserve">because the criminal sanction acts as a deterrent </w:t>
      </w:r>
      <w:r w:rsidR="00294DD5" w:rsidRPr="00957009">
        <w:rPr>
          <w:rFonts w:ascii="Times New Roman" w:hAnsi="Times New Roman" w:cs="Times New Roman"/>
        </w:rPr>
        <w:t>(para</w:t>
      </w:r>
      <w:r w:rsidR="0001099B" w:rsidRPr="00957009">
        <w:rPr>
          <w:rFonts w:ascii="Times New Roman" w:hAnsi="Times New Roman" w:cs="Times New Roman"/>
        </w:rPr>
        <w:t>s</w:t>
      </w:r>
      <w:r w:rsidR="00294DD5" w:rsidRPr="00957009">
        <w:rPr>
          <w:rFonts w:ascii="Times New Roman" w:hAnsi="Times New Roman" w:cs="Times New Roman"/>
        </w:rPr>
        <w:t>. 46</w:t>
      </w:r>
      <w:r w:rsidR="0001099B" w:rsidRPr="00957009">
        <w:rPr>
          <w:rFonts w:ascii="Times New Roman" w:hAnsi="Times New Roman" w:cs="Times New Roman"/>
        </w:rPr>
        <w:t>-47</w:t>
      </w:r>
      <w:r w:rsidR="00294DD5" w:rsidRPr="00957009">
        <w:rPr>
          <w:rFonts w:ascii="Times New Roman" w:hAnsi="Times New Roman" w:cs="Times New Roman"/>
        </w:rPr>
        <w:t>).</w:t>
      </w:r>
      <w:r w:rsidR="002C707F" w:rsidRPr="00957009">
        <w:rPr>
          <w:rFonts w:ascii="Times New Roman" w:hAnsi="Times New Roman" w:cs="Times New Roman"/>
        </w:rPr>
        <w:t xml:space="preserve"> He added that even though only the convenor of a gathering faces the criminal sanction if no notice is given, the rights of all participants are affected because “</w:t>
      </w:r>
      <w:r w:rsidR="00D56207">
        <w:rPr>
          <w:rFonts w:ascii="Times New Roman" w:hAnsi="Times New Roman" w:cs="Times New Roman"/>
        </w:rPr>
        <w:t>[</w:t>
      </w:r>
      <w:proofErr w:type="spellStart"/>
      <w:r w:rsidR="00D56207">
        <w:rPr>
          <w:rFonts w:ascii="Times New Roman" w:hAnsi="Times New Roman" w:cs="Times New Roman"/>
        </w:rPr>
        <w:t>i</w:t>
      </w:r>
      <w:proofErr w:type="spellEnd"/>
      <w:r w:rsidR="00D56207">
        <w:rPr>
          <w:rFonts w:ascii="Times New Roman" w:hAnsi="Times New Roman" w:cs="Times New Roman"/>
        </w:rPr>
        <w:t>]</w:t>
      </w:r>
      <w:r w:rsidR="002C707F" w:rsidRPr="00957009">
        <w:rPr>
          <w:rFonts w:ascii="Times New Roman" w:hAnsi="Times New Roman" w:cs="Times New Roman"/>
        </w:rPr>
        <w:t>f a convener is deterred from organising a gathering, then in the ordinary course (save for the rare spontaneous gathering) a gathering will not occur” (para. 47).</w:t>
      </w:r>
    </w:p>
    <w:p w14:paraId="1AAF4675" w14:textId="512EB0B9" w:rsidR="002C707F" w:rsidRPr="00957009" w:rsidRDefault="002C707F" w:rsidP="001B1500">
      <w:pPr>
        <w:contextualSpacing/>
        <w:rPr>
          <w:rFonts w:ascii="Times New Roman" w:hAnsi="Times New Roman" w:cs="Times New Roman"/>
        </w:rPr>
      </w:pPr>
    </w:p>
    <w:p w14:paraId="2E789DB5" w14:textId="07EEF0B0" w:rsidR="00003371" w:rsidRPr="00E42479" w:rsidRDefault="003C01F1" w:rsidP="00E42479">
      <w:pPr>
        <w:contextualSpacing/>
        <w:rPr>
          <w:rFonts w:ascii="Times New Roman" w:hAnsi="Times New Roman" w:cs="Times New Roman"/>
        </w:rPr>
      </w:pPr>
      <w:proofErr w:type="spellStart"/>
      <w:r w:rsidRPr="00957009">
        <w:rPr>
          <w:rFonts w:ascii="Times New Roman" w:hAnsi="Times New Roman" w:cs="Times New Roman"/>
        </w:rPr>
        <w:t>Petse</w:t>
      </w:r>
      <w:proofErr w:type="spellEnd"/>
      <w:r w:rsidRPr="00957009">
        <w:rPr>
          <w:rFonts w:ascii="Times New Roman" w:hAnsi="Times New Roman" w:cs="Times New Roman"/>
        </w:rPr>
        <w:t xml:space="preserve"> </w:t>
      </w:r>
      <w:r w:rsidR="001C1A9E">
        <w:rPr>
          <w:rFonts w:ascii="Times New Roman" w:hAnsi="Times New Roman" w:cs="Times New Roman"/>
        </w:rPr>
        <w:t xml:space="preserve">undertook an analysis of international jurisprudence on the right to freedom of assembly, and </w:t>
      </w:r>
      <w:r w:rsidR="00883C9E">
        <w:rPr>
          <w:rFonts w:ascii="Times New Roman" w:hAnsi="Times New Roman" w:cs="Times New Roman"/>
        </w:rPr>
        <w:t xml:space="preserve">referred to the </w:t>
      </w:r>
      <w:r w:rsidR="00883C9E" w:rsidRPr="00957009">
        <w:rPr>
          <w:rFonts w:ascii="Times New Roman" w:hAnsi="Times New Roman" w:cs="Times New Roman"/>
        </w:rPr>
        <w:t xml:space="preserve">UN Human Rights Committee case of </w:t>
      </w:r>
      <w:proofErr w:type="spellStart"/>
      <w:r w:rsidR="00883C9E" w:rsidRPr="00957009">
        <w:rPr>
          <w:rFonts w:ascii="Times New Roman" w:hAnsi="Times New Roman" w:cs="Times New Roman"/>
          <w:i/>
        </w:rPr>
        <w:t>Kivenmaa</w:t>
      </w:r>
      <w:proofErr w:type="spellEnd"/>
      <w:r w:rsidR="00883C9E" w:rsidRPr="00957009">
        <w:rPr>
          <w:rFonts w:ascii="Times New Roman" w:hAnsi="Times New Roman" w:cs="Times New Roman"/>
          <w:i/>
        </w:rPr>
        <w:t xml:space="preserve"> v. Finland </w:t>
      </w:r>
      <w:r w:rsidR="00883C9E" w:rsidRPr="00957009">
        <w:rPr>
          <w:rFonts w:ascii="Times New Roman" w:hAnsi="Times New Roman" w:cs="Times New Roman"/>
        </w:rPr>
        <w:t xml:space="preserve">Comm. No 412/1990, which had held that unless a notification requirement was to protect public safety, health or morals or to ensure the protection of rights and freedom of others </w:t>
      </w:r>
      <w:r w:rsidR="00883C9E">
        <w:rPr>
          <w:rFonts w:ascii="Times New Roman" w:hAnsi="Times New Roman" w:cs="Times New Roman"/>
        </w:rPr>
        <w:t xml:space="preserve">such notification </w:t>
      </w:r>
      <w:r w:rsidR="00883C9E" w:rsidRPr="00957009">
        <w:rPr>
          <w:rFonts w:ascii="Times New Roman" w:hAnsi="Times New Roman" w:cs="Times New Roman"/>
        </w:rPr>
        <w:t xml:space="preserve">could not be considered a permissible limitation (para. 49). </w:t>
      </w:r>
      <w:r w:rsidR="00E42479">
        <w:rPr>
          <w:rFonts w:ascii="Times New Roman" w:hAnsi="Times New Roman" w:cs="Times New Roman"/>
        </w:rPr>
        <w:t xml:space="preserve">He also mentioned </w:t>
      </w:r>
      <w:r w:rsidR="00003371" w:rsidRPr="00E42479">
        <w:rPr>
          <w:rFonts w:ascii="Times New Roman" w:hAnsi="Times New Roman" w:cs="Times New Roman"/>
        </w:rPr>
        <w:t xml:space="preserve">the European Court of Human Rights cases of </w:t>
      </w:r>
      <w:proofErr w:type="spellStart"/>
      <w:r w:rsidR="00003371" w:rsidRPr="00E42479">
        <w:rPr>
          <w:rFonts w:ascii="Times New Roman" w:hAnsi="Times New Roman" w:cs="Times New Roman"/>
          <w:i/>
          <w:iCs/>
        </w:rPr>
        <w:t>Kudrevičius</w:t>
      </w:r>
      <w:proofErr w:type="spellEnd"/>
      <w:r w:rsidR="00003371" w:rsidRPr="00E42479">
        <w:rPr>
          <w:rFonts w:ascii="Times New Roman" w:hAnsi="Times New Roman" w:cs="Times New Roman"/>
          <w:i/>
          <w:iCs/>
        </w:rPr>
        <w:t xml:space="preserve"> v Lithuania </w:t>
      </w:r>
      <w:r w:rsidR="00003371" w:rsidRPr="00E42479">
        <w:rPr>
          <w:rFonts w:ascii="Times New Roman" w:hAnsi="Times New Roman" w:cs="Times New Roman"/>
        </w:rPr>
        <w:t xml:space="preserve">App. No. 37553/05 (2015) and </w:t>
      </w:r>
      <w:proofErr w:type="spellStart"/>
      <w:r w:rsidR="00003371" w:rsidRPr="00E42479">
        <w:rPr>
          <w:rFonts w:ascii="Times New Roman" w:hAnsi="Times New Roman" w:cs="Times New Roman"/>
          <w:i/>
          <w:iCs/>
        </w:rPr>
        <w:t>Novikova</w:t>
      </w:r>
      <w:proofErr w:type="spellEnd"/>
      <w:r w:rsidR="00003371" w:rsidRPr="00E42479">
        <w:rPr>
          <w:rFonts w:ascii="Times New Roman" w:hAnsi="Times New Roman" w:cs="Times New Roman"/>
          <w:i/>
          <w:iCs/>
        </w:rPr>
        <w:t xml:space="preserve"> v. Russia</w:t>
      </w:r>
      <w:r w:rsidR="00003371" w:rsidRPr="00E42479">
        <w:rPr>
          <w:rFonts w:ascii="Times New Roman" w:hAnsi="Times New Roman" w:cs="Times New Roman"/>
        </w:rPr>
        <w:t xml:space="preserve"> App. Nos. 25501/07, 57569/11, 80153/12, 5790/13 and 35015/13 (2016)</w:t>
      </w:r>
      <w:r w:rsidR="00AD71AB" w:rsidRPr="00E42479">
        <w:rPr>
          <w:rFonts w:ascii="Times New Roman" w:hAnsi="Times New Roman" w:cs="Times New Roman"/>
        </w:rPr>
        <w:t xml:space="preserve"> which had emphasized the </w:t>
      </w:r>
      <w:r w:rsidR="00365B2E" w:rsidRPr="00E42479">
        <w:rPr>
          <w:rFonts w:ascii="Times New Roman" w:hAnsi="Times New Roman" w:cs="Times New Roman"/>
        </w:rPr>
        <w:t>chilling effect prior interferences have on the enjoyment of the right to freedom of assembly.</w:t>
      </w:r>
      <w:r w:rsidR="00AA25DF" w:rsidRPr="00E42479">
        <w:rPr>
          <w:rFonts w:ascii="Times New Roman" w:hAnsi="Times New Roman" w:cs="Times New Roman"/>
        </w:rPr>
        <w:t xml:space="preserve"> He held that this ECtHR jurisprudence demonstrated that “criminalising the failure to give notice for a peaceful assembly quite clearly constitutes a limitation of the right to assemble freely” (para. 54). </w:t>
      </w:r>
    </w:p>
    <w:p w14:paraId="174FD6D3" w14:textId="22FC3481" w:rsidR="003F7002" w:rsidRDefault="003F7002" w:rsidP="001B1500">
      <w:pPr>
        <w:pStyle w:val="NormalWeb"/>
        <w:contextualSpacing/>
      </w:pPr>
      <w:r>
        <w:t xml:space="preserve">Having found that there was a limitation to the right </w:t>
      </w:r>
      <w:proofErr w:type="spellStart"/>
      <w:r>
        <w:t>Petse</w:t>
      </w:r>
      <w:proofErr w:type="spellEnd"/>
      <w:r>
        <w:t xml:space="preserve"> undertook an analysis under section 36 – the general limitations clause – to determine whether the limitation was justi</w:t>
      </w:r>
      <w:r w:rsidR="0094553F">
        <w:t>f</w:t>
      </w:r>
      <w:r>
        <w:t>iable</w:t>
      </w:r>
      <w:r w:rsidR="0094553F">
        <w:t xml:space="preserve">. </w:t>
      </w:r>
      <w:r w:rsidR="008D4801">
        <w:t xml:space="preserve">Section 36 requires the court to assess the nature of the right that is being limited, the importance of the purpose of the limitation, the nature and extent of the limitation, the relationship between the limitation and its purpose and whether there are less restrictive ways through which to achieve the limitation’s purpose. </w:t>
      </w:r>
    </w:p>
    <w:p w14:paraId="4076F5B5" w14:textId="2EBCE71D" w:rsidR="003D5734" w:rsidRDefault="003D5734" w:rsidP="001B1500">
      <w:pPr>
        <w:pStyle w:val="NormalWeb"/>
        <w:contextualSpacing/>
      </w:pPr>
    </w:p>
    <w:p w14:paraId="576F4629" w14:textId="764AA475" w:rsidR="00AE4E3B" w:rsidRDefault="00AE4E3B" w:rsidP="001B1500">
      <w:pPr>
        <w:pStyle w:val="NormalWeb"/>
        <w:contextualSpacing/>
      </w:pPr>
      <w:proofErr w:type="spellStart"/>
      <w:r>
        <w:t>Petse</w:t>
      </w:r>
      <w:proofErr w:type="spellEnd"/>
      <w:r>
        <w:t xml:space="preserve"> quoted at length from </w:t>
      </w:r>
      <w:proofErr w:type="spellStart"/>
      <w:r w:rsidRPr="00AE4E3B">
        <w:rPr>
          <w:i/>
        </w:rPr>
        <w:t>Garvas</w:t>
      </w:r>
      <w:proofErr w:type="spellEnd"/>
      <w:r>
        <w:t xml:space="preserve"> where the Chief Justice </w:t>
      </w:r>
      <w:proofErr w:type="spellStart"/>
      <w:r>
        <w:t>Mogoeng</w:t>
      </w:r>
      <w:proofErr w:type="spellEnd"/>
      <w:r>
        <w:t xml:space="preserve"> had </w:t>
      </w:r>
      <w:r w:rsidR="005C160E">
        <w:t xml:space="preserve">noted that the historical context of the </w:t>
      </w:r>
      <w:r w:rsidR="00B42598">
        <w:t xml:space="preserve">achievement of the </w:t>
      </w:r>
      <w:r w:rsidR="005C160E">
        <w:t xml:space="preserve">right to freedom of assembly in </w:t>
      </w:r>
      <w:r w:rsidR="00B42598">
        <w:t xml:space="preserve">the post-apartheid Constitution </w:t>
      </w:r>
      <w:r>
        <w:t>“tell us something about the inherent power and value of freedom of assembly and demonstration, as a tool of democracy often used by people who do not necessarily have other means of making their democratic rights count” (para. 67).</w:t>
      </w:r>
      <w:r w:rsidR="002059DA">
        <w:t xml:space="preserve"> </w:t>
      </w:r>
      <w:proofErr w:type="spellStart"/>
      <w:r w:rsidR="007B31C5">
        <w:t>Petse</w:t>
      </w:r>
      <w:proofErr w:type="spellEnd"/>
      <w:r w:rsidR="007B31C5">
        <w:t xml:space="preserve"> added</w:t>
      </w:r>
      <w:r w:rsidR="002059DA">
        <w:t xml:space="preserve"> that “</w:t>
      </w:r>
      <w:r w:rsidR="007B31C5">
        <w:t>[p]</w:t>
      </w:r>
      <w:proofErr w:type="spellStart"/>
      <w:r w:rsidR="002059DA">
        <w:t>eople</w:t>
      </w:r>
      <w:proofErr w:type="spellEnd"/>
      <w:r w:rsidR="002059DA">
        <w:t xml:space="preserve"> who lack political and economic power have only protests as a tool to communicate their legitimate concerns [and] [t]o </w:t>
      </w:r>
      <w:proofErr w:type="gramStart"/>
      <w:r w:rsidR="002059DA">
        <w:t>take</w:t>
      </w:r>
      <w:proofErr w:type="gramEnd"/>
      <w:r w:rsidR="002059DA">
        <w:t xml:space="preserve"> away that tool would undermine the promise in the Constitution’s preamble that South Africa belongs to </w:t>
      </w:r>
      <w:r w:rsidR="002059DA">
        <w:rPr>
          <w:i/>
        </w:rPr>
        <w:t xml:space="preserve">all </w:t>
      </w:r>
      <w:r w:rsidR="002059DA">
        <w:t>who live in it, and not only a powerful elite”</w:t>
      </w:r>
      <w:r w:rsidR="00624CC8">
        <w:t xml:space="preserve"> (para. 69).</w:t>
      </w:r>
    </w:p>
    <w:p w14:paraId="0CFECD7E" w14:textId="261E1D89" w:rsidR="00624CC8" w:rsidRDefault="00624CC8" w:rsidP="001B1500">
      <w:pPr>
        <w:pStyle w:val="NormalWeb"/>
        <w:contextualSpacing/>
      </w:pPr>
    </w:p>
    <w:p w14:paraId="6C5FE489" w14:textId="734E3FBA" w:rsidR="00624CC8" w:rsidRPr="00A974DC" w:rsidRDefault="00624CC8" w:rsidP="001B1500">
      <w:pPr>
        <w:pStyle w:val="NormalWeb"/>
        <w:contextualSpacing/>
      </w:pPr>
      <w:proofErr w:type="spellStart"/>
      <w:r>
        <w:lastRenderedPageBreak/>
        <w:t>Petse</w:t>
      </w:r>
      <w:proofErr w:type="spellEnd"/>
      <w:r>
        <w:t xml:space="preserve"> also referred to the Constitutional Court decision</w:t>
      </w:r>
      <w:r w:rsidR="008833DA">
        <w:t>s</w:t>
      </w:r>
      <w:r>
        <w:t xml:space="preserve"> in </w:t>
      </w:r>
      <w:r w:rsidR="0031788D" w:rsidRPr="00B42598">
        <w:rPr>
          <w:i/>
          <w:iCs/>
        </w:rPr>
        <w:t xml:space="preserve">South African National Defence Union v. Minister of Defence </w:t>
      </w:r>
      <w:r w:rsidR="0031788D" w:rsidRPr="00B42598">
        <w:t>1999 (4) SA 469 (CC)</w:t>
      </w:r>
      <w:r w:rsidR="008833DA" w:rsidRPr="00B42598">
        <w:t xml:space="preserve"> and </w:t>
      </w:r>
      <w:proofErr w:type="spellStart"/>
      <w:r w:rsidR="008833DA" w:rsidRPr="00B42598">
        <w:rPr>
          <w:i/>
        </w:rPr>
        <w:t>Hotz</w:t>
      </w:r>
      <w:proofErr w:type="spellEnd"/>
      <w:r w:rsidR="008833DA" w:rsidRPr="00B42598">
        <w:rPr>
          <w:i/>
        </w:rPr>
        <w:t xml:space="preserve"> v. University of Cape Town</w:t>
      </w:r>
      <w:r w:rsidR="008833DA" w:rsidRPr="00B42598">
        <w:t xml:space="preserve"> 2018 (1) SA 369 (CC)</w:t>
      </w:r>
      <w:r w:rsidR="0031788D" w:rsidRPr="00B42598">
        <w:t xml:space="preserve"> </w:t>
      </w:r>
      <w:r w:rsidRPr="00B42598">
        <w:t xml:space="preserve">which </w:t>
      </w:r>
      <w:r w:rsidR="00B42598">
        <w:t xml:space="preserve">had </w:t>
      </w:r>
      <w:r w:rsidRPr="00B42598">
        <w:t>emphasised that the right</w:t>
      </w:r>
      <w:r w:rsidR="00E13D4E" w:rsidRPr="00B42598">
        <w:t>s</w:t>
      </w:r>
      <w:r w:rsidRPr="00B42598">
        <w:t xml:space="preserve"> to freedom of </w:t>
      </w:r>
      <w:r w:rsidR="00E13D4E" w:rsidRPr="00B42598">
        <w:t xml:space="preserve">expression and </w:t>
      </w:r>
      <w:r w:rsidRPr="00B42598">
        <w:t>assembly play</w:t>
      </w:r>
      <w:r w:rsidR="00B42598">
        <w:t xml:space="preserve"> an important role</w:t>
      </w:r>
      <w:r w:rsidRPr="00B42598">
        <w:t xml:space="preserve"> in furthering</w:t>
      </w:r>
      <w:r>
        <w:t xml:space="preserve"> the realisation of other rights (para. 70).</w:t>
      </w:r>
      <w:r w:rsidR="00A974DC">
        <w:t xml:space="preserve"> </w:t>
      </w:r>
    </w:p>
    <w:p w14:paraId="4A35BCB2" w14:textId="0ACD52EF" w:rsidR="00D67211" w:rsidRDefault="00D67211" w:rsidP="001B1500">
      <w:pPr>
        <w:pStyle w:val="NormalWeb"/>
        <w:contextualSpacing/>
      </w:pPr>
    </w:p>
    <w:p w14:paraId="01F35DD0" w14:textId="72767928" w:rsidR="001B1500" w:rsidRDefault="001B1500" w:rsidP="001B1500">
      <w:pPr>
        <w:pStyle w:val="NormalWeb"/>
        <w:contextualSpacing/>
      </w:pPr>
      <w:r>
        <w:t xml:space="preserve">In responding to Equal Education’s submissions about the importance of the right to children </w:t>
      </w:r>
      <w:proofErr w:type="spellStart"/>
      <w:r>
        <w:t>Petse</w:t>
      </w:r>
      <w:proofErr w:type="spellEnd"/>
      <w:r>
        <w:t xml:space="preserve"> acknowledged that the UN Convention on the Rights of the Child and the African Charter on the Rights and Welfare of the Child “specifically protect the child’s right to express its views and to participate in public life” (para. 72). </w:t>
      </w:r>
    </w:p>
    <w:p w14:paraId="4612D889" w14:textId="5C09D3EA" w:rsidR="00E21014" w:rsidRDefault="00E21014" w:rsidP="001B1500">
      <w:pPr>
        <w:pStyle w:val="NormalWeb"/>
        <w:contextualSpacing/>
      </w:pPr>
    </w:p>
    <w:p w14:paraId="0013912D" w14:textId="7F5C0621" w:rsidR="00E21014" w:rsidRDefault="00E21014" w:rsidP="001B1500">
      <w:pPr>
        <w:pStyle w:val="NormalWeb"/>
        <w:contextualSpacing/>
      </w:pPr>
      <w:proofErr w:type="spellStart"/>
      <w:r>
        <w:t>Petse</w:t>
      </w:r>
      <w:proofErr w:type="spellEnd"/>
      <w:r>
        <w:t xml:space="preserve"> then examined the purpose of the limitation in section 12(1)(a)</w:t>
      </w:r>
      <w:r w:rsidR="00B76AF7">
        <w:t xml:space="preserve"> which the State had argued was “ultimately to ensure peaceful protests”</w:t>
      </w:r>
      <w:r w:rsidR="00E01247">
        <w:t xml:space="preserve"> because notification allows for planning and sufficient deployment of police</w:t>
      </w:r>
      <w:r w:rsidR="00F20576">
        <w:t xml:space="preserve"> for the intended gathering</w:t>
      </w:r>
      <w:r w:rsidR="00B76AF7">
        <w:t xml:space="preserve"> (para. 74). </w:t>
      </w:r>
      <w:r w:rsidR="00F20576">
        <w:t xml:space="preserve">The Judge noted that the State cited insufficient resources as one of the reasons for why notice was </w:t>
      </w:r>
      <w:proofErr w:type="gramStart"/>
      <w:r w:rsidR="00F20576">
        <w:t>required</w:t>
      </w:r>
      <w:proofErr w:type="gramEnd"/>
      <w:r w:rsidR="00F20576">
        <w:t xml:space="preserve"> and he characterised this argument as being “that the police</w:t>
      </w:r>
      <w:r w:rsidR="009134B5">
        <w:t xml:space="preserve"> lack</w:t>
      </w:r>
      <w:r w:rsidR="00F20576">
        <w:t xml:space="preserve"> resources to such an extent that the risk of unnotified gatherings must be mitigated through one of the harshest possible ways – criminalisation and punishment” (para. 75). </w:t>
      </w:r>
      <w:proofErr w:type="spellStart"/>
      <w:r w:rsidR="00F54BFF">
        <w:t>Petse</w:t>
      </w:r>
      <w:proofErr w:type="spellEnd"/>
      <w:r w:rsidR="00F54BFF">
        <w:t xml:space="preserve"> rejected this argument, </w:t>
      </w:r>
      <w:r w:rsidR="00A75DF3">
        <w:t>stressing</w:t>
      </w:r>
      <w:r w:rsidR="00F54BFF">
        <w:t xml:space="preserve"> that “a lack of resources or an increase in costs on its own cannot justify a limitation of a constitutional right” (para. 76)</w:t>
      </w:r>
      <w:r w:rsidR="00146531">
        <w:t xml:space="preserve"> and noted that the State had not provided </w:t>
      </w:r>
      <w:r w:rsidR="00CA3AC1">
        <w:t xml:space="preserve">any </w:t>
      </w:r>
      <w:r w:rsidR="00146531">
        <w:t>evidence for how costs would increase if section 21(1)(a) was declared unconstitutional</w:t>
      </w:r>
      <w:r w:rsidR="00F54BFF">
        <w:t xml:space="preserve">. </w:t>
      </w:r>
    </w:p>
    <w:p w14:paraId="099BB3A9" w14:textId="354822A0" w:rsidR="00782130" w:rsidRDefault="00782130" w:rsidP="001B1500">
      <w:pPr>
        <w:pStyle w:val="NormalWeb"/>
        <w:contextualSpacing/>
      </w:pPr>
    </w:p>
    <w:p w14:paraId="2B6531DD" w14:textId="1BC011E1" w:rsidR="00782130" w:rsidRDefault="00782130" w:rsidP="001B1500">
      <w:pPr>
        <w:pStyle w:val="NormalWeb"/>
        <w:contextualSpacing/>
      </w:pPr>
      <w:proofErr w:type="spellStart"/>
      <w:r>
        <w:t>Petse</w:t>
      </w:r>
      <w:proofErr w:type="spellEnd"/>
      <w:r>
        <w:t xml:space="preserve"> </w:t>
      </w:r>
      <w:r w:rsidR="00346EBE">
        <w:t>recognised</w:t>
      </w:r>
      <w:r>
        <w:t xml:space="preserve"> that “[t]his Court cannot ignore the levels of violence witnessed in recent protests in South Africa” and that as section 12(1)(a) seeks to ensure criminality does</w:t>
      </w:r>
      <w:r w:rsidR="003B7944">
        <w:t xml:space="preserve"> </w:t>
      </w:r>
      <w:r>
        <w:t>n</w:t>
      </w:r>
      <w:r w:rsidR="003B7944">
        <w:t>o</w:t>
      </w:r>
      <w:r>
        <w:t xml:space="preserve">t occur at protests that is “undoubtedly a legitimate aim” (para. 79). </w:t>
      </w:r>
      <w:r w:rsidR="00081BCE">
        <w:t xml:space="preserve">However, the Judge noted that “it cannot be right for the State, in responding to this regrettable phenomenon [of high crime], to employ high-handed countermeasures that unduly limit the right” </w:t>
      </w:r>
      <w:r w:rsidR="002A79F5">
        <w:t>and that a balance between protectin</w:t>
      </w:r>
      <w:r w:rsidR="003B7944">
        <w:t>g</w:t>
      </w:r>
      <w:r w:rsidR="002A79F5">
        <w:t xml:space="preserve"> rights and ensuring safety must be struck </w:t>
      </w:r>
      <w:r w:rsidR="00081BCE">
        <w:t>(para. 80).</w:t>
      </w:r>
    </w:p>
    <w:p w14:paraId="221AE037" w14:textId="7C185A72" w:rsidR="002A79F5" w:rsidRDefault="002A79F5" w:rsidP="001B1500">
      <w:pPr>
        <w:pStyle w:val="NormalWeb"/>
        <w:contextualSpacing/>
      </w:pPr>
    </w:p>
    <w:p w14:paraId="4D52B7A8" w14:textId="1A9C1093" w:rsidR="002A79F5" w:rsidRDefault="00346EBE" w:rsidP="001B1500">
      <w:pPr>
        <w:pStyle w:val="NormalWeb"/>
        <w:contextualSpacing/>
      </w:pPr>
      <w:r>
        <w:t xml:space="preserve">In examining the effects of section 12(1)(a) on the enjoyment of the right, </w:t>
      </w:r>
      <w:proofErr w:type="spellStart"/>
      <w:r>
        <w:t>Petse</w:t>
      </w:r>
      <w:proofErr w:type="spellEnd"/>
      <w:r>
        <w:t xml:space="preserve"> characterized these effects as “severe” because of the breadth of the legislative definition of “gathering” and that the criminalization of conduct is “calamitous” to those charged. The Judge highlighted the chilling effect that criminalization has on individuals thinking about convening or participating in gatherings. </w:t>
      </w:r>
      <w:proofErr w:type="spellStart"/>
      <w:r w:rsidR="00956691">
        <w:t>Petse</w:t>
      </w:r>
      <w:proofErr w:type="spellEnd"/>
      <w:r w:rsidR="00956691">
        <w:t xml:space="preserve"> also noted that the provision makes no distinction between adult and children participants </w:t>
      </w:r>
      <w:r w:rsidR="00BF10BA">
        <w:t>and held that “[t]o expose children to criminal liability, as section 12(1)(a) does, therefore severely exacerbates the extent of the limitation</w:t>
      </w:r>
      <w:r w:rsidR="00B614A7">
        <w:t>” and “cannot be justified on any rational basis”</w:t>
      </w:r>
      <w:r w:rsidR="00BF10BA">
        <w:t xml:space="preserve"> (para. 89). </w:t>
      </w:r>
    </w:p>
    <w:p w14:paraId="0DB33C75" w14:textId="3023129F" w:rsidR="00455EA3" w:rsidRDefault="00455EA3" w:rsidP="001B1500">
      <w:pPr>
        <w:pStyle w:val="NormalWeb"/>
        <w:contextualSpacing/>
      </w:pPr>
    </w:p>
    <w:p w14:paraId="4C8E277E" w14:textId="4DCB1B35" w:rsidR="00455EA3" w:rsidRDefault="00455EA3" w:rsidP="001B1500">
      <w:pPr>
        <w:pStyle w:val="NormalWeb"/>
        <w:contextualSpacing/>
      </w:pPr>
      <w:proofErr w:type="spellStart"/>
      <w:r>
        <w:t>Petse</w:t>
      </w:r>
      <w:proofErr w:type="spellEnd"/>
      <w:r>
        <w:t xml:space="preserve"> </w:t>
      </w:r>
      <w:r w:rsidR="00D42FD1">
        <w:t xml:space="preserve">dismissed the argument that the defence </w:t>
      </w:r>
      <w:r w:rsidR="00D42FD1">
        <w:t>of spontaneity in section 12(2)</w:t>
      </w:r>
      <w:r w:rsidR="00D42FD1">
        <w:t xml:space="preserve"> makes the provision reasonable because that defence is </w:t>
      </w:r>
      <w:r>
        <w:t xml:space="preserve">available only to those convenors who had planned a demonstration (that is an assembly of fifteen or fewer people) which turned into an unnotified gathering when more people joined the demonstration – and so does not apply to situations where peaceful gatherings are planned but no notice is given (para. 90). </w:t>
      </w:r>
    </w:p>
    <w:p w14:paraId="09231EA3" w14:textId="6B2AC09D" w:rsidR="00D67211" w:rsidRPr="00624CC8" w:rsidRDefault="00D67211" w:rsidP="001B1500">
      <w:pPr>
        <w:pStyle w:val="NormalWeb"/>
        <w:contextualSpacing/>
      </w:pPr>
    </w:p>
    <w:p w14:paraId="7134D5B9" w14:textId="77777777" w:rsidR="00963BD7" w:rsidRDefault="00803007" w:rsidP="001B1500">
      <w:pPr>
        <w:pStyle w:val="NormalWeb"/>
        <w:contextualSpacing/>
      </w:pPr>
      <w:proofErr w:type="spellStart"/>
      <w:r>
        <w:t>Petse</w:t>
      </w:r>
      <w:proofErr w:type="spellEnd"/>
      <w:r>
        <w:t xml:space="preserve"> highlighted that the requirement of giving notice created onerous responsibilities on a convenor; </w:t>
      </w:r>
      <w:r w:rsidR="00D42FD1">
        <w:t>they</w:t>
      </w:r>
      <w:r>
        <w:t xml:space="preserve"> would have to be familiar with the provisions of the Act, ensure that the notice meets the criteria set out in the provision and ensure that the notice is given at least a week before the intended gathering. A notice that did not meet the requirements would still lead to criminal liability for the convener, and </w:t>
      </w:r>
      <w:proofErr w:type="spellStart"/>
      <w:r>
        <w:t>Petse</w:t>
      </w:r>
      <w:proofErr w:type="spellEnd"/>
      <w:r>
        <w:t xml:space="preserve"> noted that even though this may be seen as a mitigating factor in sentencing it “does not detract from the fact that the convener will have to live with a criminal record and its attendant dire consequences” (para. 91). </w:t>
      </w:r>
    </w:p>
    <w:p w14:paraId="51B2B022" w14:textId="77777777" w:rsidR="00963BD7" w:rsidRDefault="00963BD7" w:rsidP="001B1500">
      <w:pPr>
        <w:pStyle w:val="NormalWeb"/>
        <w:contextualSpacing/>
      </w:pPr>
    </w:p>
    <w:p w14:paraId="1DECCBB1" w14:textId="12F8110C" w:rsidR="00537EB7" w:rsidRDefault="004E4E34" w:rsidP="001B1500">
      <w:pPr>
        <w:pStyle w:val="NormalWeb"/>
        <w:contextualSpacing/>
      </w:pPr>
      <w:proofErr w:type="spellStart"/>
      <w:r>
        <w:lastRenderedPageBreak/>
        <w:t>Petse</w:t>
      </w:r>
      <w:proofErr w:type="spellEnd"/>
      <w:r>
        <w:t xml:space="preserve"> held that there was no rational connection between section 12(1)(a) and the purpose – to enable the police to prepare </w:t>
      </w:r>
      <w:r w:rsidR="009A57AF">
        <w:t xml:space="preserve">for a gathering </w:t>
      </w:r>
      <w:r>
        <w:t xml:space="preserve">adequately – for which it was adopted. He gave the example of a convener facing criminal sanction for not giving notice when no police presence was even </w:t>
      </w:r>
      <w:proofErr w:type="gramStart"/>
      <w:r>
        <w:t>necessary, and</w:t>
      </w:r>
      <w:proofErr w:type="gramEnd"/>
      <w:r>
        <w:t xml:space="preserve"> </w:t>
      </w:r>
      <w:r w:rsidR="00D44230">
        <w:t>noted</w:t>
      </w:r>
      <w:r>
        <w:t xml:space="preserve"> that the converse was also true</w:t>
      </w:r>
      <w:r w:rsidR="00D44230">
        <w:t xml:space="preserve"> as</w:t>
      </w:r>
      <w:r>
        <w:t xml:space="preserve"> “sometimes notice may not even be required by police presence to prevent violence will be” (para. 93). </w:t>
      </w:r>
      <w:r w:rsidR="005E6EE8">
        <w:t>Accordingly, he held that “the limitation in question (the criminalisation of a failure to give notice) is neither sufficient nor necessary for achieving the ultimate purpose of that limitation (peaceful protests through police presence)” (para.</w:t>
      </w:r>
      <w:r w:rsidR="00963BD7">
        <w:t xml:space="preserve"> </w:t>
      </w:r>
      <w:r w:rsidR="005E6EE8">
        <w:t>93).</w:t>
      </w:r>
      <w:r w:rsidR="00537EB7">
        <w:t xml:space="preserve"> </w:t>
      </w:r>
    </w:p>
    <w:p w14:paraId="1325FF63" w14:textId="77777777" w:rsidR="00537EB7" w:rsidRDefault="00537EB7" w:rsidP="001B1500">
      <w:pPr>
        <w:pStyle w:val="NormalWeb"/>
        <w:contextualSpacing/>
      </w:pPr>
    </w:p>
    <w:p w14:paraId="6B264D88" w14:textId="3B2B29A5" w:rsidR="009D5B30" w:rsidRDefault="00537EB7" w:rsidP="001B1500">
      <w:pPr>
        <w:pStyle w:val="NormalWeb"/>
        <w:contextualSpacing/>
      </w:pPr>
      <w:r>
        <w:t xml:space="preserve">In finding that there were less restrictive means through which to achieve the purpose, </w:t>
      </w:r>
      <w:proofErr w:type="spellStart"/>
      <w:r>
        <w:t>Petse</w:t>
      </w:r>
      <w:proofErr w:type="spellEnd"/>
      <w:r>
        <w:t xml:space="preserve"> noted that although criminalisation of </w:t>
      </w:r>
      <w:r w:rsidR="00317021">
        <w:t>failure to give</w:t>
      </w:r>
      <w:r>
        <w:t xml:space="preserve"> notice may incentivise the giving of notice this is not necessary. </w:t>
      </w:r>
      <w:proofErr w:type="spellStart"/>
      <w:r>
        <w:t>Mlungwana</w:t>
      </w:r>
      <w:proofErr w:type="spellEnd"/>
      <w:r>
        <w:t xml:space="preserve"> and the </w:t>
      </w:r>
      <w:r>
        <w:rPr>
          <w:i/>
        </w:rPr>
        <w:t xml:space="preserve">amici </w:t>
      </w:r>
      <w:r>
        <w:t>had</w:t>
      </w:r>
      <w:r w:rsidR="00E34677">
        <w:t xml:space="preserve"> provided various options available to the legislature to incentivise that giving of notice to assist law enforcement in policing assemblies. These included </w:t>
      </w:r>
      <w:r w:rsidR="00DC6B2D">
        <w:t xml:space="preserve">ensuring that any notice </w:t>
      </w:r>
      <w:r w:rsidR="00317021">
        <w:t>specifies</w:t>
      </w:r>
      <w:r w:rsidR="00DC6B2D">
        <w:t xml:space="preserve"> that the police cannot restrict the protest, enhanc</w:t>
      </w:r>
      <w:r w:rsidR="009D5B30">
        <w:t>ing</w:t>
      </w:r>
      <w:r w:rsidR="00DC6B2D">
        <w:t xml:space="preserve"> civil liability for damages caused by a failure to take reasonable steps to prevent damage during a protest (which would include a failure to give notice), </w:t>
      </w:r>
      <w:r w:rsidR="009D5B30">
        <w:t xml:space="preserve">relying on existing common law and statutory crimes which govern public disruption and violence, </w:t>
      </w:r>
      <w:r w:rsidR="00DC6B2D">
        <w:t xml:space="preserve">administrative fines or </w:t>
      </w:r>
      <w:r w:rsidR="00E34677">
        <w:t>an</w:t>
      </w:r>
      <w:r w:rsidR="00DC6B2D">
        <w:t xml:space="preserve"> ame</w:t>
      </w:r>
      <w:r w:rsidR="009D5B30">
        <w:t>nd</w:t>
      </w:r>
      <w:r w:rsidR="00E34677">
        <w:t>ment of</w:t>
      </w:r>
      <w:r w:rsidR="009D5B30">
        <w:t xml:space="preserve"> the provision so that notice is required </w:t>
      </w:r>
      <w:r w:rsidR="003D392A">
        <w:t xml:space="preserve">only </w:t>
      </w:r>
      <w:r w:rsidR="009D5B30">
        <w:t xml:space="preserve">if police presence is also required (para. 96). </w:t>
      </w:r>
      <w:proofErr w:type="spellStart"/>
      <w:r w:rsidR="009D5B30">
        <w:t>Petse</w:t>
      </w:r>
      <w:proofErr w:type="spellEnd"/>
      <w:r w:rsidR="009D5B30">
        <w:t xml:space="preserve"> held that there was no evidence that the purpose of section 12(1)(a) could not be achieved through these less restrictive means.</w:t>
      </w:r>
    </w:p>
    <w:p w14:paraId="416E5445" w14:textId="77777777" w:rsidR="009D5B30" w:rsidRDefault="009D5B30" w:rsidP="001B1500">
      <w:pPr>
        <w:pStyle w:val="NormalWeb"/>
        <w:contextualSpacing/>
      </w:pPr>
    </w:p>
    <w:p w14:paraId="672FBED4" w14:textId="623A5BB3" w:rsidR="00AE4E3B" w:rsidRPr="003D5734" w:rsidRDefault="009D5B30" w:rsidP="001B1500">
      <w:pPr>
        <w:pStyle w:val="NormalWeb"/>
        <w:contextualSpacing/>
      </w:pPr>
      <w:r>
        <w:t xml:space="preserve">Accordingly, </w:t>
      </w:r>
      <w:proofErr w:type="spellStart"/>
      <w:r>
        <w:t>Petse</w:t>
      </w:r>
      <w:proofErr w:type="spellEnd"/>
      <w:r>
        <w:t xml:space="preserve"> held that “section 12(1)(a) is not ‘appropriately tailored’ to facilitate peaceful protests and prevent disruptive assemblies” (para. 101). He found that “[t]he right entrenched in section 17 is simply too important to countenance the sort of limitation introduced by section 12(1)(a)” and that the “nature of the limitation is too severe and the nexus between the means adopted in section 12(1)(a) and any conceivable legitimate purpose is too tenuous to render section 12(1)(a) constitutional” (para. 101). </w:t>
      </w:r>
      <w:r w:rsidR="00C907B9">
        <w:t xml:space="preserve">The Constitutional Court therefore confirmed the High Court’s finding of unconstitutionality. </w:t>
      </w:r>
    </w:p>
    <w:p w14:paraId="7A2644DC" w14:textId="10A3C6A1" w:rsidR="001138C3" w:rsidRDefault="001138C3" w:rsidP="001B1500">
      <w:pPr>
        <w:pStyle w:val="NormalWeb"/>
        <w:contextualSpacing/>
      </w:pPr>
    </w:p>
    <w:p w14:paraId="7607D2AC" w14:textId="55BE7080" w:rsidR="00713532" w:rsidRPr="00713532" w:rsidRDefault="00713532" w:rsidP="001B1500">
      <w:pPr>
        <w:contextualSpacing/>
        <w:rPr>
          <w:rFonts w:ascii="Times New Roman" w:hAnsi="Times New Roman" w:cs="Times New Roman"/>
        </w:rPr>
      </w:pPr>
      <w:proofErr w:type="spellStart"/>
      <w:r w:rsidRPr="00957009">
        <w:rPr>
          <w:rFonts w:ascii="Times New Roman" w:hAnsi="Times New Roman" w:cs="Times New Roman"/>
        </w:rPr>
        <w:t>Petse</w:t>
      </w:r>
      <w:proofErr w:type="spellEnd"/>
      <w:r w:rsidRPr="00957009">
        <w:rPr>
          <w:rFonts w:ascii="Times New Roman" w:hAnsi="Times New Roman" w:cs="Times New Roman"/>
        </w:rPr>
        <w:t xml:space="preserve"> also referred to the Human Rights Committee cases of </w:t>
      </w:r>
      <w:proofErr w:type="spellStart"/>
      <w:r w:rsidRPr="00957009">
        <w:rPr>
          <w:rFonts w:ascii="Times New Roman" w:hAnsi="Times New Roman" w:cs="Times New Roman"/>
          <w:i/>
        </w:rPr>
        <w:t>Levinov</w:t>
      </w:r>
      <w:proofErr w:type="spellEnd"/>
      <w:r w:rsidRPr="00957009">
        <w:rPr>
          <w:rFonts w:ascii="Times New Roman" w:hAnsi="Times New Roman" w:cs="Times New Roman"/>
          <w:i/>
        </w:rPr>
        <w:t xml:space="preserve"> v. Belarus </w:t>
      </w:r>
      <w:r w:rsidRPr="00957009">
        <w:rPr>
          <w:rFonts w:ascii="Times New Roman" w:hAnsi="Times New Roman" w:cs="Times New Roman"/>
        </w:rPr>
        <w:t xml:space="preserve">Comm. No. 2082/2011 (2016), </w:t>
      </w:r>
      <w:proofErr w:type="spellStart"/>
      <w:r w:rsidRPr="00957009">
        <w:rPr>
          <w:rFonts w:ascii="Times New Roman" w:hAnsi="Times New Roman" w:cs="Times New Roman"/>
          <w:i/>
        </w:rPr>
        <w:t>Shumilina</w:t>
      </w:r>
      <w:proofErr w:type="spellEnd"/>
      <w:r w:rsidRPr="00957009">
        <w:rPr>
          <w:rFonts w:ascii="Times New Roman" w:hAnsi="Times New Roman" w:cs="Times New Roman"/>
          <w:i/>
        </w:rPr>
        <w:t xml:space="preserve"> v. Belarus </w:t>
      </w:r>
      <w:r w:rsidRPr="00957009">
        <w:rPr>
          <w:rFonts w:ascii="Times New Roman" w:hAnsi="Times New Roman" w:cs="Times New Roman"/>
        </w:rPr>
        <w:t xml:space="preserve">Comm. No. 2142/2012 (2017), </w:t>
      </w:r>
      <w:proofErr w:type="spellStart"/>
      <w:r w:rsidRPr="00957009">
        <w:rPr>
          <w:rFonts w:ascii="Times New Roman" w:hAnsi="Times New Roman" w:cs="Times New Roman"/>
          <w:i/>
        </w:rPr>
        <w:t>Poplavny</w:t>
      </w:r>
      <w:proofErr w:type="spellEnd"/>
      <w:r w:rsidRPr="00957009">
        <w:rPr>
          <w:rFonts w:ascii="Times New Roman" w:hAnsi="Times New Roman" w:cs="Times New Roman"/>
          <w:i/>
        </w:rPr>
        <w:t xml:space="preserve"> v. Belarus </w:t>
      </w:r>
      <w:r w:rsidRPr="00957009">
        <w:rPr>
          <w:rFonts w:ascii="Times New Roman" w:hAnsi="Times New Roman" w:cs="Times New Roman"/>
        </w:rPr>
        <w:t xml:space="preserve">Comm. No. 2139/2012 (2016), </w:t>
      </w:r>
      <w:proofErr w:type="spellStart"/>
      <w:r w:rsidRPr="00957009">
        <w:rPr>
          <w:rFonts w:ascii="Times New Roman" w:hAnsi="Times New Roman" w:cs="Times New Roman"/>
          <w:i/>
        </w:rPr>
        <w:t>Sudalenko</w:t>
      </w:r>
      <w:proofErr w:type="spellEnd"/>
      <w:r w:rsidRPr="00957009">
        <w:rPr>
          <w:rFonts w:ascii="Times New Roman" w:hAnsi="Times New Roman" w:cs="Times New Roman"/>
          <w:i/>
        </w:rPr>
        <w:t xml:space="preserve"> v. Belarus </w:t>
      </w:r>
      <w:r w:rsidRPr="00957009">
        <w:rPr>
          <w:rFonts w:ascii="Times New Roman" w:hAnsi="Times New Roman" w:cs="Times New Roman"/>
        </w:rPr>
        <w:t xml:space="preserve">Comm. No. 2016/2010 (2015), </w:t>
      </w:r>
      <w:proofErr w:type="spellStart"/>
      <w:r w:rsidRPr="00957009">
        <w:rPr>
          <w:rFonts w:ascii="Times New Roman" w:hAnsi="Times New Roman" w:cs="Times New Roman"/>
          <w:i/>
        </w:rPr>
        <w:t>Praded</w:t>
      </w:r>
      <w:proofErr w:type="spellEnd"/>
      <w:r w:rsidRPr="00957009">
        <w:rPr>
          <w:rFonts w:ascii="Times New Roman" w:hAnsi="Times New Roman" w:cs="Times New Roman"/>
          <w:i/>
        </w:rPr>
        <w:t xml:space="preserve"> v. Belarus </w:t>
      </w:r>
      <w:r w:rsidRPr="00957009">
        <w:rPr>
          <w:rFonts w:ascii="Times New Roman" w:hAnsi="Times New Roman" w:cs="Times New Roman"/>
        </w:rPr>
        <w:t xml:space="preserve">Comm. No. 2029/2011 (2014), </w:t>
      </w:r>
      <w:proofErr w:type="spellStart"/>
      <w:r w:rsidRPr="00957009">
        <w:rPr>
          <w:rFonts w:ascii="Times New Roman" w:hAnsi="Times New Roman" w:cs="Times New Roman"/>
          <w:i/>
          <w:iCs/>
        </w:rPr>
        <w:t>Androsenko</w:t>
      </w:r>
      <w:proofErr w:type="spellEnd"/>
      <w:r w:rsidRPr="00957009">
        <w:rPr>
          <w:rFonts w:ascii="Times New Roman" w:hAnsi="Times New Roman" w:cs="Times New Roman"/>
          <w:i/>
          <w:iCs/>
        </w:rPr>
        <w:t xml:space="preserve"> v. Belarus </w:t>
      </w:r>
      <w:r w:rsidRPr="00957009">
        <w:rPr>
          <w:rFonts w:ascii="Times New Roman" w:hAnsi="Times New Roman" w:cs="Times New Roman"/>
        </w:rPr>
        <w:t xml:space="preserve">Comm. No. 2092/2011 (2016); </w:t>
      </w:r>
      <w:proofErr w:type="spellStart"/>
      <w:r w:rsidRPr="00957009">
        <w:rPr>
          <w:rFonts w:ascii="Times New Roman" w:hAnsi="Times New Roman" w:cs="Times New Roman"/>
          <w:i/>
          <w:iCs/>
        </w:rPr>
        <w:t>Korol</w:t>
      </w:r>
      <w:proofErr w:type="spellEnd"/>
      <w:r w:rsidRPr="00957009">
        <w:rPr>
          <w:rFonts w:ascii="Times New Roman" w:hAnsi="Times New Roman" w:cs="Times New Roman"/>
          <w:i/>
          <w:iCs/>
        </w:rPr>
        <w:t xml:space="preserve"> v. Belarus </w:t>
      </w:r>
      <w:r w:rsidRPr="00957009">
        <w:rPr>
          <w:rFonts w:ascii="Times New Roman" w:hAnsi="Times New Roman" w:cs="Times New Roman"/>
        </w:rPr>
        <w:t xml:space="preserve">Comm. No. 2089/2011 (2016); </w:t>
      </w:r>
      <w:proofErr w:type="spellStart"/>
      <w:r w:rsidRPr="00957009">
        <w:rPr>
          <w:rFonts w:ascii="Times New Roman" w:hAnsi="Times New Roman" w:cs="Times New Roman"/>
          <w:i/>
          <w:iCs/>
        </w:rPr>
        <w:t>Toregozhina</w:t>
      </w:r>
      <w:proofErr w:type="spellEnd"/>
      <w:r w:rsidRPr="00957009">
        <w:rPr>
          <w:rFonts w:ascii="Times New Roman" w:hAnsi="Times New Roman" w:cs="Times New Roman"/>
          <w:i/>
          <w:iCs/>
        </w:rPr>
        <w:t xml:space="preserve"> v. Kazakhstan </w:t>
      </w:r>
      <w:r w:rsidRPr="00957009">
        <w:rPr>
          <w:rFonts w:ascii="Times New Roman" w:hAnsi="Times New Roman" w:cs="Times New Roman"/>
        </w:rPr>
        <w:t xml:space="preserve">Comm. No. 2137/2012 (2014) and </w:t>
      </w:r>
      <w:proofErr w:type="spellStart"/>
      <w:r w:rsidRPr="00957009">
        <w:rPr>
          <w:rFonts w:ascii="Times New Roman" w:hAnsi="Times New Roman" w:cs="Times New Roman"/>
          <w:i/>
          <w:iCs/>
        </w:rPr>
        <w:t>Statkevich</w:t>
      </w:r>
      <w:proofErr w:type="spellEnd"/>
      <w:r w:rsidRPr="00957009">
        <w:rPr>
          <w:rFonts w:ascii="Times New Roman" w:hAnsi="Times New Roman" w:cs="Times New Roman"/>
          <w:i/>
          <w:iCs/>
        </w:rPr>
        <w:t xml:space="preserve"> v. Belarus </w:t>
      </w:r>
      <w:r w:rsidRPr="00957009">
        <w:rPr>
          <w:rFonts w:ascii="Times New Roman" w:hAnsi="Times New Roman" w:cs="Times New Roman"/>
        </w:rPr>
        <w:t xml:space="preserve">Comm. No. 2133/2012 (2015). </w:t>
      </w:r>
    </w:p>
    <w:p w14:paraId="3D7C3B4E" w14:textId="44187AA8" w:rsidR="00365B2E" w:rsidRPr="00957009" w:rsidRDefault="00365B2E" w:rsidP="001B1500">
      <w:pPr>
        <w:pStyle w:val="NormalWeb"/>
        <w:contextualSpacing/>
      </w:pPr>
      <w:r w:rsidRPr="00957009">
        <w:t xml:space="preserve">The Court also referred to these cases: </w:t>
      </w:r>
      <w:proofErr w:type="spellStart"/>
      <w:r w:rsidRPr="00957009">
        <w:rPr>
          <w:i/>
          <w:iCs/>
        </w:rPr>
        <w:t>Chumak</w:t>
      </w:r>
      <w:proofErr w:type="spellEnd"/>
      <w:r w:rsidRPr="00957009">
        <w:rPr>
          <w:i/>
          <w:iCs/>
        </w:rPr>
        <w:t xml:space="preserve"> v Ukraine</w:t>
      </w:r>
      <w:r w:rsidRPr="00957009">
        <w:t xml:space="preserve">, App. No 44529/09 (2018); </w:t>
      </w:r>
      <w:proofErr w:type="spellStart"/>
      <w:r w:rsidRPr="00957009">
        <w:rPr>
          <w:i/>
          <w:iCs/>
        </w:rPr>
        <w:t>Lashmankin</w:t>
      </w:r>
      <w:proofErr w:type="spellEnd"/>
      <w:r w:rsidRPr="00957009">
        <w:rPr>
          <w:i/>
          <w:iCs/>
        </w:rPr>
        <w:t xml:space="preserve"> v Russia</w:t>
      </w:r>
      <w:r w:rsidRPr="00957009">
        <w:t xml:space="preserve"> App Nos. 57818/09 and 14 others (2017); </w:t>
      </w:r>
      <w:r w:rsidRPr="00957009">
        <w:rPr>
          <w:i/>
          <w:iCs/>
        </w:rPr>
        <w:t>Kasparov v Russia</w:t>
      </w:r>
      <w:r w:rsidRPr="00957009">
        <w:t xml:space="preserve">, App. No. 21613/07 (2014); </w:t>
      </w:r>
      <w:r w:rsidRPr="00957009">
        <w:rPr>
          <w:i/>
          <w:iCs/>
        </w:rPr>
        <w:t>Nemtsov v Russia</w:t>
      </w:r>
      <w:r w:rsidRPr="00957009">
        <w:rPr>
          <w:bCs/>
        </w:rPr>
        <w:t xml:space="preserve">, App. </w:t>
      </w:r>
      <w:proofErr w:type="spellStart"/>
      <w:r w:rsidRPr="00957009">
        <w:rPr>
          <w:bCs/>
        </w:rPr>
        <w:t xml:space="preserve">No. </w:t>
      </w:r>
      <w:proofErr w:type="spellEnd"/>
      <w:r w:rsidRPr="00957009">
        <w:t xml:space="preserve">1774/11 (2014); </w:t>
      </w:r>
      <w:proofErr w:type="spellStart"/>
      <w:r w:rsidRPr="00957009">
        <w:rPr>
          <w:i/>
          <w:iCs/>
        </w:rPr>
        <w:t>Primov</w:t>
      </w:r>
      <w:proofErr w:type="spellEnd"/>
      <w:r w:rsidRPr="00957009">
        <w:rPr>
          <w:i/>
          <w:iCs/>
        </w:rPr>
        <w:t xml:space="preserve"> v Russia</w:t>
      </w:r>
      <w:r w:rsidRPr="00957009">
        <w:t xml:space="preserve">, App. No 17391/06 (2014); </w:t>
      </w:r>
      <w:proofErr w:type="spellStart"/>
      <w:r w:rsidRPr="00957009">
        <w:rPr>
          <w:i/>
          <w:iCs/>
        </w:rPr>
        <w:t>Taranenko</w:t>
      </w:r>
      <w:proofErr w:type="spellEnd"/>
      <w:r w:rsidRPr="00957009">
        <w:rPr>
          <w:i/>
          <w:iCs/>
        </w:rPr>
        <w:t xml:space="preserve"> v Russia</w:t>
      </w:r>
      <w:r w:rsidRPr="00957009">
        <w:t xml:space="preserve">, App. No 19554/05 (2014); </w:t>
      </w:r>
      <w:proofErr w:type="spellStart"/>
      <w:proofErr w:type="gramStart"/>
      <w:r w:rsidRPr="00957009">
        <w:rPr>
          <w:i/>
          <w:iCs/>
        </w:rPr>
        <w:t>Shwabe</w:t>
      </w:r>
      <w:proofErr w:type="spellEnd"/>
      <w:r w:rsidRPr="00957009">
        <w:rPr>
          <w:i/>
          <w:iCs/>
        </w:rPr>
        <w:t xml:space="preserve">  v</w:t>
      </w:r>
      <w:proofErr w:type="gramEnd"/>
      <w:r w:rsidRPr="00957009">
        <w:rPr>
          <w:i/>
          <w:iCs/>
        </w:rPr>
        <w:t xml:space="preserve"> Germany</w:t>
      </w:r>
      <w:r w:rsidRPr="00957009">
        <w:t xml:space="preserve">, App. Nos 8080/08 and 8577/08, (2012); </w:t>
      </w:r>
      <w:proofErr w:type="spellStart"/>
      <w:r w:rsidRPr="00957009">
        <w:rPr>
          <w:i/>
          <w:iCs/>
        </w:rPr>
        <w:t>Barraco</w:t>
      </w:r>
      <w:proofErr w:type="spellEnd"/>
      <w:r w:rsidRPr="00957009">
        <w:rPr>
          <w:i/>
          <w:iCs/>
        </w:rPr>
        <w:t xml:space="preserve"> v France</w:t>
      </w:r>
      <w:r w:rsidRPr="00957009">
        <w:t xml:space="preserve">, App. No 31684/05, (2009); </w:t>
      </w:r>
      <w:proofErr w:type="spellStart"/>
      <w:r w:rsidRPr="00957009">
        <w:rPr>
          <w:i/>
          <w:iCs/>
        </w:rPr>
        <w:t>Djavit</w:t>
      </w:r>
      <w:proofErr w:type="spellEnd"/>
      <w:r w:rsidRPr="00957009">
        <w:rPr>
          <w:i/>
          <w:iCs/>
        </w:rPr>
        <w:t xml:space="preserve"> </w:t>
      </w:r>
      <w:proofErr w:type="gramStart"/>
      <w:r w:rsidRPr="00957009">
        <w:rPr>
          <w:i/>
          <w:iCs/>
        </w:rPr>
        <w:t>An</w:t>
      </w:r>
      <w:proofErr w:type="gramEnd"/>
      <w:r w:rsidRPr="00957009">
        <w:rPr>
          <w:i/>
          <w:iCs/>
        </w:rPr>
        <w:t xml:space="preserve"> v Turkey</w:t>
      </w:r>
      <w:r w:rsidRPr="00957009">
        <w:t xml:space="preserve">, App No 20652/92 (2003 and </w:t>
      </w:r>
      <w:proofErr w:type="spellStart"/>
      <w:r w:rsidRPr="00957009">
        <w:rPr>
          <w:i/>
          <w:iCs/>
        </w:rPr>
        <w:t>Bączkowski</w:t>
      </w:r>
      <w:proofErr w:type="spellEnd"/>
      <w:r w:rsidRPr="00957009">
        <w:rPr>
          <w:i/>
          <w:iCs/>
        </w:rPr>
        <w:t xml:space="preserve"> v Poland</w:t>
      </w:r>
      <w:r w:rsidRPr="00957009">
        <w:rPr>
          <w:bCs/>
        </w:rPr>
        <w:t>, App. N</w:t>
      </w:r>
      <w:r w:rsidRPr="00957009">
        <w:t xml:space="preserve">o 1543/06, (2007). </w:t>
      </w:r>
    </w:p>
    <w:p w14:paraId="010DA1C9" w14:textId="5C469C50" w:rsidR="00365B2E" w:rsidRPr="00957009" w:rsidRDefault="00365B2E" w:rsidP="001B1500">
      <w:pPr>
        <w:pStyle w:val="NormalWeb"/>
        <w:contextualSpacing/>
      </w:pPr>
      <w:r w:rsidRPr="00957009">
        <w:t xml:space="preserve">. </w:t>
      </w:r>
    </w:p>
    <w:p w14:paraId="23DB5314" w14:textId="07281357" w:rsidR="00365B2E" w:rsidRPr="00957009" w:rsidRDefault="00365B2E" w:rsidP="001B1500">
      <w:pPr>
        <w:pStyle w:val="NormalWeb"/>
        <w:contextualSpacing/>
      </w:pPr>
    </w:p>
    <w:p w14:paraId="3D48501E" w14:textId="3D16E1F9" w:rsidR="00003371" w:rsidRPr="00957009" w:rsidRDefault="00003371" w:rsidP="001B1500">
      <w:pPr>
        <w:contextualSpacing/>
        <w:rPr>
          <w:rFonts w:ascii="Times New Roman" w:hAnsi="Times New Roman" w:cs="Times New Roman"/>
        </w:rPr>
      </w:pPr>
    </w:p>
    <w:p w14:paraId="43FDB3ED" w14:textId="77777777" w:rsidR="00003371" w:rsidRPr="00957009" w:rsidRDefault="00003371" w:rsidP="001B1500">
      <w:pPr>
        <w:contextualSpacing/>
        <w:rPr>
          <w:rFonts w:ascii="Times New Roman" w:hAnsi="Times New Roman" w:cs="Times New Roman"/>
        </w:rPr>
      </w:pPr>
    </w:p>
    <w:p w14:paraId="538E4665" w14:textId="77777777" w:rsidR="0001099B" w:rsidRPr="00957009" w:rsidRDefault="0001099B" w:rsidP="001B1500">
      <w:pPr>
        <w:contextualSpacing/>
        <w:rPr>
          <w:rFonts w:ascii="Times New Roman" w:hAnsi="Times New Roman" w:cs="Times New Roman"/>
        </w:rPr>
      </w:pPr>
    </w:p>
    <w:p w14:paraId="4A6596C1" w14:textId="365537D1" w:rsidR="00294DD5" w:rsidRPr="00957009" w:rsidRDefault="00294DD5" w:rsidP="001B1500">
      <w:pPr>
        <w:contextualSpacing/>
        <w:rPr>
          <w:rFonts w:ascii="Times New Roman" w:hAnsi="Times New Roman" w:cs="Times New Roman"/>
        </w:rPr>
      </w:pPr>
    </w:p>
    <w:p w14:paraId="7E4B0E43" w14:textId="77777777" w:rsidR="00294DD5" w:rsidRPr="00957009" w:rsidRDefault="00294DD5" w:rsidP="001B1500">
      <w:pPr>
        <w:contextualSpacing/>
        <w:rPr>
          <w:rFonts w:ascii="Times New Roman" w:hAnsi="Times New Roman" w:cs="Times New Roman"/>
        </w:rPr>
      </w:pPr>
    </w:p>
    <w:p w14:paraId="02ED9BEA" w14:textId="77777777" w:rsidR="003C381E" w:rsidRPr="00957009" w:rsidRDefault="003C381E" w:rsidP="001B1500">
      <w:pPr>
        <w:contextualSpacing/>
        <w:rPr>
          <w:rFonts w:ascii="Times New Roman" w:hAnsi="Times New Roman" w:cs="Times New Roman"/>
        </w:rPr>
      </w:pPr>
    </w:p>
    <w:p w14:paraId="35EA2E04" w14:textId="77777777" w:rsidR="00BA2856" w:rsidRPr="00957009" w:rsidRDefault="00BA2856" w:rsidP="001B1500">
      <w:pPr>
        <w:contextualSpacing/>
        <w:rPr>
          <w:rFonts w:ascii="Times New Roman" w:hAnsi="Times New Roman" w:cs="Times New Roman"/>
        </w:rPr>
      </w:pPr>
    </w:p>
    <w:p w14:paraId="4C4542CE" w14:textId="1820C1AA" w:rsidR="00172E0D" w:rsidRPr="00957009" w:rsidRDefault="00172E0D" w:rsidP="001B1500">
      <w:pPr>
        <w:contextualSpacing/>
        <w:rPr>
          <w:rFonts w:ascii="Times New Roman" w:hAnsi="Times New Roman" w:cs="Times New Roman"/>
        </w:rPr>
      </w:pPr>
    </w:p>
    <w:p w14:paraId="3BB24EA8" w14:textId="77777777" w:rsidR="00172E0D" w:rsidRPr="00957009" w:rsidRDefault="00172E0D" w:rsidP="001B1500">
      <w:pPr>
        <w:contextualSpacing/>
        <w:rPr>
          <w:rFonts w:ascii="Times New Roman" w:hAnsi="Times New Roman" w:cs="Times New Roman"/>
        </w:rPr>
      </w:pPr>
    </w:p>
    <w:p w14:paraId="4B003D61" w14:textId="77777777" w:rsidR="00811B1B" w:rsidRPr="00957009" w:rsidRDefault="00811B1B" w:rsidP="001B1500">
      <w:pPr>
        <w:contextualSpacing/>
        <w:rPr>
          <w:rFonts w:ascii="Times New Roman" w:hAnsi="Times New Roman" w:cs="Times New Roman"/>
        </w:rPr>
      </w:pPr>
    </w:p>
    <w:p w14:paraId="633F9CEF" w14:textId="77777777" w:rsidR="00043D42" w:rsidRPr="00957009" w:rsidRDefault="00043D42" w:rsidP="001B1500">
      <w:pPr>
        <w:contextualSpacing/>
        <w:rPr>
          <w:rFonts w:ascii="Times New Roman" w:hAnsi="Times New Roman" w:cs="Times New Roman"/>
          <w:color w:val="333333"/>
          <w:lang w:val="en-US"/>
        </w:rPr>
      </w:pPr>
    </w:p>
    <w:p w14:paraId="1A746FD7" w14:textId="77777777" w:rsidR="00043D42" w:rsidRPr="00957009" w:rsidRDefault="00043D42" w:rsidP="001B1500">
      <w:pPr>
        <w:contextualSpacing/>
        <w:rPr>
          <w:rFonts w:ascii="Times New Roman" w:hAnsi="Times New Roman" w:cs="Times New Roman"/>
          <w:color w:val="333333"/>
          <w:lang w:val="en-US"/>
        </w:rPr>
      </w:pPr>
      <w:r w:rsidRPr="00957009">
        <w:rPr>
          <w:rFonts w:ascii="Times New Roman" w:hAnsi="Times New Roman" w:cs="Times New Roman"/>
          <w:color w:val="333333"/>
          <w:lang w:val="en-US"/>
        </w:rPr>
        <w:t>Decision Direction:</w:t>
      </w:r>
    </w:p>
    <w:p w14:paraId="7FF35DF9" w14:textId="77777777" w:rsidR="00C97EA9" w:rsidRPr="00957009" w:rsidRDefault="00C97EA9" w:rsidP="001B1500">
      <w:pPr>
        <w:contextualSpacing/>
        <w:rPr>
          <w:rFonts w:ascii="Times New Roman" w:hAnsi="Times New Roman" w:cs="Times New Roman"/>
          <w:color w:val="333333"/>
          <w:lang w:val="en-US"/>
        </w:rPr>
      </w:pPr>
    </w:p>
    <w:p w14:paraId="3669159D" w14:textId="77777777" w:rsidR="00043D42" w:rsidRPr="00957009" w:rsidRDefault="00043D42" w:rsidP="001B1500">
      <w:pPr>
        <w:contextualSpacing/>
        <w:rPr>
          <w:rFonts w:ascii="Times New Roman" w:hAnsi="Times New Roman" w:cs="Times New Roman"/>
          <w:color w:val="333333"/>
          <w:lang w:val="en-US"/>
        </w:rPr>
      </w:pPr>
    </w:p>
    <w:p w14:paraId="786F011F" w14:textId="77777777" w:rsidR="00043D42" w:rsidRPr="00957009" w:rsidRDefault="00043D42" w:rsidP="001B1500">
      <w:pPr>
        <w:contextualSpacing/>
        <w:rPr>
          <w:rFonts w:ascii="Times New Roman" w:hAnsi="Times New Roman" w:cs="Times New Roman"/>
          <w:color w:val="333333"/>
          <w:lang w:val="en-US"/>
        </w:rPr>
      </w:pPr>
      <w:r w:rsidRPr="00957009">
        <w:rPr>
          <w:rFonts w:ascii="Times New Roman" w:hAnsi="Times New Roman" w:cs="Times New Roman"/>
          <w:color w:val="333333"/>
          <w:lang w:val="en-US"/>
        </w:rPr>
        <w:t>Global Perspective:</w:t>
      </w:r>
    </w:p>
    <w:p w14:paraId="558B0157" w14:textId="77777777" w:rsidR="00043D42" w:rsidRPr="00957009" w:rsidRDefault="00043D42" w:rsidP="001B1500">
      <w:pPr>
        <w:contextualSpacing/>
        <w:rPr>
          <w:rFonts w:ascii="Times New Roman" w:hAnsi="Times New Roman" w:cs="Times New Roman"/>
          <w:color w:val="333333"/>
          <w:lang w:val="en-US"/>
        </w:rPr>
      </w:pPr>
    </w:p>
    <w:p w14:paraId="50BF42D7" w14:textId="77777777" w:rsidR="00043D42" w:rsidRPr="00957009" w:rsidRDefault="00043D42" w:rsidP="001B1500">
      <w:pPr>
        <w:contextualSpacing/>
        <w:rPr>
          <w:rFonts w:ascii="Times New Roman" w:hAnsi="Times New Roman" w:cs="Times New Roman"/>
          <w:color w:val="333333"/>
          <w:lang w:val="en-US"/>
        </w:rPr>
      </w:pPr>
    </w:p>
    <w:p w14:paraId="547422F2" w14:textId="77777777" w:rsidR="00043D42" w:rsidRPr="00957009" w:rsidRDefault="00043D42" w:rsidP="001B1500">
      <w:pPr>
        <w:contextualSpacing/>
        <w:rPr>
          <w:rFonts w:ascii="Times New Roman" w:hAnsi="Times New Roman" w:cs="Times New Roman"/>
          <w:color w:val="333333"/>
          <w:lang w:val="en-US"/>
        </w:rPr>
      </w:pPr>
      <w:r w:rsidRPr="00957009">
        <w:rPr>
          <w:rFonts w:ascii="Times New Roman" w:hAnsi="Times New Roman" w:cs="Times New Roman"/>
          <w:color w:val="333333"/>
          <w:lang w:val="en-US"/>
        </w:rPr>
        <w:t>Case Significance:</w:t>
      </w:r>
    </w:p>
    <w:p w14:paraId="066D8CE3" w14:textId="77777777" w:rsidR="00043D42" w:rsidRPr="00957009" w:rsidRDefault="00043D42" w:rsidP="001B1500">
      <w:pPr>
        <w:contextualSpacing/>
        <w:rPr>
          <w:rFonts w:ascii="Times New Roman" w:hAnsi="Times New Roman" w:cs="Times New Roman"/>
          <w:color w:val="333333"/>
          <w:lang w:val="en-US"/>
        </w:rPr>
      </w:pPr>
    </w:p>
    <w:p w14:paraId="33C29451" w14:textId="77777777" w:rsidR="00043D42" w:rsidRPr="00957009" w:rsidRDefault="00043D42" w:rsidP="001B1500">
      <w:pPr>
        <w:contextualSpacing/>
        <w:rPr>
          <w:rFonts w:ascii="Times New Roman" w:hAnsi="Times New Roman" w:cs="Times New Roman"/>
          <w:color w:val="333333"/>
          <w:lang w:val="en-US"/>
        </w:rPr>
      </w:pPr>
    </w:p>
    <w:p w14:paraId="4AC0B593" w14:textId="77777777" w:rsidR="00043D42" w:rsidRPr="00957009" w:rsidRDefault="00043D42" w:rsidP="001B1500">
      <w:pPr>
        <w:contextualSpacing/>
        <w:rPr>
          <w:rFonts w:ascii="Times New Roman" w:hAnsi="Times New Roman" w:cs="Times New Roman"/>
          <w:color w:val="333333"/>
          <w:lang w:val="en-US"/>
        </w:rPr>
      </w:pPr>
      <w:r w:rsidRPr="00957009">
        <w:rPr>
          <w:rFonts w:ascii="Times New Roman" w:hAnsi="Times New Roman" w:cs="Times New Roman"/>
          <w:color w:val="333333"/>
          <w:lang w:val="en-US"/>
        </w:rPr>
        <w:t>Court Documents</w:t>
      </w:r>
    </w:p>
    <w:p w14:paraId="5E02B38C" w14:textId="77777777" w:rsidR="00043D42" w:rsidRPr="00957009" w:rsidRDefault="00043D42" w:rsidP="001B1500">
      <w:pPr>
        <w:contextualSpacing/>
        <w:rPr>
          <w:rFonts w:ascii="Times New Roman" w:hAnsi="Times New Roman" w:cs="Times New Roman"/>
          <w:color w:val="333333"/>
          <w:lang w:val="en-US"/>
        </w:rPr>
      </w:pPr>
    </w:p>
    <w:p w14:paraId="28AEF853" w14:textId="77777777" w:rsidR="008E1B93" w:rsidRPr="00957009" w:rsidRDefault="00043D42" w:rsidP="001B1500">
      <w:pPr>
        <w:contextualSpacing/>
        <w:rPr>
          <w:rFonts w:ascii="Times New Roman" w:hAnsi="Times New Roman" w:cs="Times New Roman"/>
          <w:color w:val="333333"/>
          <w:lang w:val="en-US"/>
        </w:rPr>
      </w:pPr>
      <w:r w:rsidRPr="00957009">
        <w:rPr>
          <w:rFonts w:ascii="Times New Roman" w:hAnsi="Times New Roman" w:cs="Times New Roman"/>
          <w:color w:val="333333"/>
          <w:lang w:val="en-US"/>
        </w:rPr>
        <w:t>Judgment:</w:t>
      </w:r>
    </w:p>
    <w:p w14:paraId="5B79424C" w14:textId="77777777" w:rsidR="00811B1B" w:rsidRPr="00957009" w:rsidRDefault="00811B1B" w:rsidP="001B1500">
      <w:pPr>
        <w:contextualSpacing/>
        <w:rPr>
          <w:rFonts w:ascii="Times New Roman" w:hAnsi="Times New Roman" w:cs="Times New Roman"/>
        </w:rPr>
      </w:pPr>
    </w:p>
    <w:sectPr w:rsidR="00811B1B" w:rsidRPr="00957009" w:rsidSect="00811B1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379A8"/>
    <w:multiLevelType w:val="hybridMultilevel"/>
    <w:tmpl w:val="EC4CD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42"/>
    <w:rsid w:val="00003371"/>
    <w:rsid w:val="0001099B"/>
    <w:rsid w:val="00021AEF"/>
    <w:rsid w:val="00027712"/>
    <w:rsid w:val="00037EB4"/>
    <w:rsid w:val="000437A3"/>
    <w:rsid w:val="00043D42"/>
    <w:rsid w:val="00044AD8"/>
    <w:rsid w:val="000624C4"/>
    <w:rsid w:val="00081BCE"/>
    <w:rsid w:val="000A592B"/>
    <w:rsid w:val="000F630D"/>
    <w:rsid w:val="001138C3"/>
    <w:rsid w:val="0012524E"/>
    <w:rsid w:val="00141E6D"/>
    <w:rsid w:val="00146531"/>
    <w:rsid w:val="00172E0D"/>
    <w:rsid w:val="00174258"/>
    <w:rsid w:val="001909FB"/>
    <w:rsid w:val="00194259"/>
    <w:rsid w:val="001A04F3"/>
    <w:rsid w:val="001B1500"/>
    <w:rsid w:val="001B1CD4"/>
    <w:rsid w:val="001B3B23"/>
    <w:rsid w:val="001B5808"/>
    <w:rsid w:val="001C1A9E"/>
    <w:rsid w:val="001D0C38"/>
    <w:rsid w:val="001D0DC7"/>
    <w:rsid w:val="001E1667"/>
    <w:rsid w:val="001E280B"/>
    <w:rsid w:val="001F1F79"/>
    <w:rsid w:val="002059DA"/>
    <w:rsid w:val="00230ADC"/>
    <w:rsid w:val="002662F1"/>
    <w:rsid w:val="00276D70"/>
    <w:rsid w:val="00294DD5"/>
    <w:rsid w:val="002A3330"/>
    <w:rsid w:val="002A79F5"/>
    <w:rsid w:val="002A7B10"/>
    <w:rsid w:val="002B66BF"/>
    <w:rsid w:val="002C707F"/>
    <w:rsid w:val="002D73C4"/>
    <w:rsid w:val="002E0B62"/>
    <w:rsid w:val="002E1493"/>
    <w:rsid w:val="002F56E6"/>
    <w:rsid w:val="00303FD8"/>
    <w:rsid w:val="00317021"/>
    <w:rsid w:val="0031788D"/>
    <w:rsid w:val="00346EBE"/>
    <w:rsid w:val="00360C16"/>
    <w:rsid w:val="00365B2E"/>
    <w:rsid w:val="003A1F47"/>
    <w:rsid w:val="003B7944"/>
    <w:rsid w:val="003C01F1"/>
    <w:rsid w:val="003C2133"/>
    <w:rsid w:val="003C381E"/>
    <w:rsid w:val="003C6DF5"/>
    <w:rsid w:val="003D392A"/>
    <w:rsid w:val="003D5734"/>
    <w:rsid w:val="003D629A"/>
    <w:rsid w:val="003E5BE3"/>
    <w:rsid w:val="003F7002"/>
    <w:rsid w:val="003F7766"/>
    <w:rsid w:val="00401BCB"/>
    <w:rsid w:val="00407A0B"/>
    <w:rsid w:val="0043134E"/>
    <w:rsid w:val="0044657B"/>
    <w:rsid w:val="00450818"/>
    <w:rsid w:val="00455EA3"/>
    <w:rsid w:val="00461081"/>
    <w:rsid w:val="00480C8D"/>
    <w:rsid w:val="004842F0"/>
    <w:rsid w:val="00486820"/>
    <w:rsid w:val="004B71FA"/>
    <w:rsid w:val="004C0BAE"/>
    <w:rsid w:val="004D1A34"/>
    <w:rsid w:val="004E4E34"/>
    <w:rsid w:val="004F2C69"/>
    <w:rsid w:val="004F612F"/>
    <w:rsid w:val="00511D2E"/>
    <w:rsid w:val="00530A2F"/>
    <w:rsid w:val="005335DE"/>
    <w:rsid w:val="005357D2"/>
    <w:rsid w:val="00537EB7"/>
    <w:rsid w:val="0054068C"/>
    <w:rsid w:val="00543426"/>
    <w:rsid w:val="0055750F"/>
    <w:rsid w:val="005862BA"/>
    <w:rsid w:val="005C160E"/>
    <w:rsid w:val="005D2A27"/>
    <w:rsid w:val="005E0491"/>
    <w:rsid w:val="005E25A3"/>
    <w:rsid w:val="005E6EE8"/>
    <w:rsid w:val="00602A96"/>
    <w:rsid w:val="006069E0"/>
    <w:rsid w:val="006141F8"/>
    <w:rsid w:val="00624CC8"/>
    <w:rsid w:val="00633857"/>
    <w:rsid w:val="00634EEC"/>
    <w:rsid w:val="00643B74"/>
    <w:rsid w:val="0065756A"/>
    <w:rsid w:val="00661401"/>
    <w:rsid w:val="00661633"/>
    <w:rsid w:val="00666F1A"/>
    <w:rsid w:val="0067144E"/>
    <w:rsid w:val="006724CE"/>
    <w:rsid w:val="00682B33"/>
    <w:rsid w:val="006937A8"/>
    <w:rsid w:val="006A754B"/>
    <w:rsid w:val="006A7ABC"/>
    <w:rsid w:val="006C43B4"/>
    <w:rsid w:val="006C7DEC"/>
    <w:rsid w:val="006E74E6"/>
    <w:rsid w:val="0070334E"/>
    <w:rsid w:val="00713532"/>
    <w:rsid w:val="00742E6E"/>
    <w:rsid w:val="00765AE2"/>
    <w:rsid w:val="007800F3"/>
    <w:rsid w:val="00782130"/>
    <w:rsid w:val="00786A74"/>
    <w:rsid w:val="007A74E2"/>
    <w:rsid w:val="007B31C5"/>
    <w:rsid w:val="007B6B32"/>
    <w:rsid w:val="007C7C95"/>
    <w:rsid w:val="007D4B2D"/>
    <w:rsid w:val="007D53A8"/>
    <w:rsid w:val="007D64CD"/>
    <w:rsid w:val="007E502B"/>
    <w:rsid w:val="007F556B"/>
    <w:rsid w:val="00800C06"/>
    <w:rsid w:val="00803007"/>
    <w:rsid w:val="00811B1B"/>
    <w:rsid w:val="00846418"/>
    <w:rsid w:val="00852527"/>
    <w:rsid w:val="00855F52"/>
    <w:rsid w:val="00877AAE"/>
    <w:rsid w:val="008833DA"/>
    <w:rsid w:val="00883C9E"/>
    <w:rsid w:val="0088523A"/>
    <w:rsid w:val="00892C0B"/>
    <w:rsid w:val="008D0047"/>
    <w:rsid w:val="008D1AC9"/>
    <w:rsid w:val="008D4801"/>
    <w:rsid w:val="008E1708"/>
    <w:rsid w:val="008E1B93"/>
    <w:rsid w:val="008E3A4F"/>
    <w:rsid w:val="009134B5"/>
    <w:rsid w:val="00923F49"/>
    <w:rsid w:val="0094553F"/>
    <w:rsid w:val="0095414E"/>
    <w:rsid w:val="00956691"/>
    <w:rsid w:val="00957009"/>
    <w:rsid w:val="00963BD7"/>
    <w:rsid w:val="00992423"/>
    <w:rsid w:val="00997867"/>
    <w:rsid w:val="009A51EF"/>
    <w:rsid w:val="009A57AF"/>
    <w:rsid w:val="009B17FD"/>
    <w:rsid w:val="009B2CE1"/>
    <w:rsid w:val="009C7051"/>
    <w:rsid w:val="009D33A8"/>
    <w:rsid w:val="009D5B30"/>
    <w:rsid w:val="00A231D1"/>
    <w:rsid w:val="00A32F2C"/>
    <w:rsid w:val="00A479FE"/>
    <w:rsid w:val="00A5091B"/>
    <w:rsid w:val="00A57DAB"/>
    <w:rsid w:val="00A649BE"/>
    <w:rsid w:val="00A71488"/>
    <w:rsid w:val="00A75DF3"/>
    <w:rsid w:val="00A974DC"/>
    <w:rsid w:val="00AA25DF"/>
    <w:rsid w:val="00AC14FF"/>
    <w:rsid w:val="00AD71AB"/>
    <w:rsid w:val="00AE2235"/>
    <w:rsid w:val="00AE4E3B"/>
    <w:rsid w:val="00AF04A3"/>
    <w:rsid w:val="00AF4437"/>
    <w:rsid w:val="00AF7227"/>
    <w:rsid w:val="00B00972"/>
    <w:rsid w:val="00B03272"/>
    <w:rsid w:val="00B12552"/>
    <w:rsid w:val="00B303B1"/>
    <w:rsid w:val="00B318C2"/>
    <w:rsid w:val="00B400C4"/>
    <w:rsid w:val="00B42598"/>
    <w:rsid w:val="00B5786D"/>
    <w:rsid w:val="00B614A7"/>
    <w:rsid w:val="00B76AF7"/>
    <w:rsid w:val="00B967B7"/>
    <w:rsid w:val="00BA0457"/>
    <w:rsid w:val="00BA2856"/>
    <w:rsid w:val="00BB3A30"/>
    <w:rsid w:val="00BB4E8F"/>
    <w:rsid w:val="00BC3EA2"/>
    <w:rsid w:val="00BD3798"/>
    <w:rsid w:val="00BF10BA"/>
    <w:rsid w:val="00BF1A20"/>
    <w:rsid w:val="00C118F0"/>
    <w:rsid w:val="00C13E66"/>
    <w:rsid w:val="00C23658"/>
    <w:rsid w:val="00C248D9"/>
    <w:rsid w:val="00C327B5"/>
    <w:rsid w:val="00C701D3"/>
    <w:rsid w:val="00C74BEF"/>
    <w:rsid w:val="00C85CCC"/>
    <w:rsid w:val="00C907B9"/>
    <w:rsid w:val="00C9690D"/>
    <w:rsid w:val="00C97EA9"/>
    <w:rsid w:val="00CA3AC1"/>
    <w:rsid w:val="00CB1249"/>
    <w:rsid w:val="00CB4D24"/>
    <w:rsid w:val="00CB5301"/>
    <w:rsid w:val="00CD2E1D"/>
    <w:rsid w:val="00CE2332"/>
    <w:rsid w:val="00CF30F1"/>
    <w:rsid w:val="00D011B2"/>
    <w:rsid w:val="00D01C8F"/>
    <w:rsid w:val="00D0352F"/>
    <w:rsid w:val="00D37E7B"/>
    <w:rsid w:val="00D40AD9"/>
    <w:rsid w:val="00D42FD1"/>
    <w:rsid w:val="00D44230"/>
    <w:rsid w:val="00D53EB3"/>
    <w:rsid w:val="00D56207"/>
    <w:rsid w:val="00D573A5"/>
    <w:rsid w:val="00D67211"/>
    <w:rsid w:val="00D70A07"/>
    <w:rsid w:val="00D76240"/>
    <w:rsid w:val="00D84FFF"/>
    <w:rsid w:val="00DA5449"/>
    <w:rsid w:val="00DC6B2D"/>
    <w:rsid w:val="00DD7910"/>
    <w:rsid w:val="00DE2286"/>
    <w:rsid w:val="00DE33D1"/>
    <w:rsid w:val="00E01247"/>
    <w:rsid w:val="00E13D4E"/>
    <w:rsid w:val="00E21014"/>
    <w:rsid w:val="00E24078"/>
    <w:rsid w:val="00E256CF"/>
    <w:rsid w:val="00E262F3"/>
    <w:rsid w:val="00E30929"/>
    <w:rsid w:val="00E33F42"/>
    <w:rsid w:val="00E34677"/>
    <w:rsid w:val="00E36692"/>
    <w:rsid w:val="00E402B1"/>
    <w:rsid w:val="00E42479"/>
    <w:rsid w:val="00E5430E"/>
    <w:rsid w:val="00E65F48"/>
    <w:rsid w:val="00E7192E"/>
    <w:rsid w:val="00EB7224"/>
    <w:rsid w:val="00EC708D"/>
    <w:rsid w:val="00ED7F5B"/>
    <w:rsid w:val="00EF1F7D"/>
    <w:rsid w:val="00F01C24"/>
    <w:rsid w:val="00F0255B"/>
    <w:rsid w:val="00F0359C"/>
    <w:rsid w:val="00F20576"/>
    <w:rsid w:val="00F254A7"/>
    <w:rsid w:val="00F4115A"/>
    <w:rsid w:val="00F54BFF"/>
    <w:rsid w:val="00F676D5"/>
    <w:rsid w:val="00F84F5B"/>
    <w:rsid w:val="00F87E01"/>
    <w:rsid w:val="00F956EE"/>
    <w:rsid w:val="00FA7517"/>
    <w:rsid w:val="00FC330E"/>
    <w:rsid w:val="00FD4653"/>
    <w:rsid w:val="00FF4F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6A3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D42"/>
    <w:rPr>
      <w:rFonts w:ascii="Arial" w:hAnsi="Arial"/>
      <w:lang w:val="en-GB"/>
    </w:rPr>
  </w:style>
  <w:style w:type="paragraph" w:styleId="Heading1">
    <w:name w:val="heading 1"/>
    <w:basedOn w:val="Normal"/>
    <w:link w:val="Heading1Char"/>
    <w:uiPriority w:val="9"/>
    <w:rsid w:val="00043D42"/>
    <w:pPr>
      <w:spacing w:beforeLines="1" w:afterLines="1"/>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D42"/>
    <w:rPr>
      <w:rFonts w:ascii="Times" w:hAnsi="Times"/>
      <w:b/>
      <w:kern w:val="36"/>
      <w:sz w:val="48"/>
      <w:szCs w:val="20"/>
    </w:rPr>
  </w:style>
  <w:style w:type="character" w:styleId="Strong">
    <w:name w:val="Strong"/>
    <w:basedOn w:val="DefaultParagraphFont"/>
    <w:uiPriority w:val="22"/>
    <w:rsid w:val="00043D42"/>
    <w:rPr>
      <w:b/>
    </w:rPr>
  </w:style>
  <w:style w:type="character" w:customStyle="1" w:styleId="apple-converted-space">
    <w:name w:val="apple-converted-space"/>
    <w:basedOn w:val="DefaultParagraphFont"/>
    <w:rsid w:val="00043D42"/>
  </w:style>
  <w:style w:type="character" w:styleId="Emphasis">
    <w:name w:val="Emphasis"/>
    <w:basedOn w:val="DefaultParagraphFont"/>
    <w:uiPriority w:val="20"/>
    <w:qFormat/>
    <w:rsid w:val="00043D42"/>
    <w:rPr>
      <w:i/>
    </w:rPr>
  </w:style>
  <w:style w:type="character" w:styleId="Hyperlink">
    <w:name w:val="Hyperlink"/>
    <w:basedOn w:val="DefaultParagraphFont"/>
    <w:uiPriority w:val="99"/>
    <w:semiHidden/>
    <w:unhideWhenUsed/>
    <w:rsid w:val="00043D42"/>
    <w:rPr>
      <w:color w:val="0000FF" w:themeColor="hyperlink"/>
      <w:u w:val="single"/>
    </w:rPr>
  </w:style>
  <w:style w:type="paragraph" w:styleId="ListParagraph">
    <w:name w:val="List Paragraph"/>
    <w:basedOn w:val="Normal"/>
    <w:uiPriority w:val="34"/>
    <w:qFormat/>
    <w:rsid w:val="00852527"/>
    <w:pPr>
      <w:ind w:left="720"/>
      <w:contextualSpacing/>
    </w:pPr>
  </w:style>
  <w:style w:type="paragraph" w:styleId="NormalWeb">
    <w:name w:val="Normal (Web)"/>
    <w:basedOn w:val="Normal"/>
    <w:uiPriority w:val="99"/>
    <w:unhideWhenUsed/>
    <w:rsid w:val="00003371"/>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2955">
      <w:bodyDiv w:val="1"/>
      <w:marLeft w:val="0"/>
      <w:marRight w:val="0"/>
      <w:marTop w:val="0"/>
      <w:marBottom w:val="0"/>
      <w:divBdr>
        <w:top w:val="none" w:sz="0" w:space="0" w:color="auto"/>
        <w:left w:val="none" w:sz="0" w:space="0" w:color="auto"/>
        <w:bottom w:val="none" w:sz="0" w:space="0" w:color="auto"/>
        <w:right w:val="none" w:sz="0" w:space="0" w:color="auto"/>
      </w:divBdr>
      <w:divsChild>
        <w:div w:id="216431064">
          <w:marLeft w:val="0"/>
          <w:marRight w:val="0"/>
          <w:marTop w:val="0"/>
          <w:marBottom w:val="0"/>
          <w:divBdr>
            <w:top w:val="none" w:sz="0" w:space="0" w:color="auto"/>
            <w:left w:val="none" w:sz="0" w:space="0" w:color="auto"/>
            <w:bottom w:val="none" w:sz="0" w:space="0" w:color="auto"/>
            <w:right w:val="none" w:sz="0" w:space="0" w:color="auto"/>
          </w:divBdr>
          <w:divsChild>
            <w:div w:id="763264413">
              <w:marLeft w:val="0"/>
              <w:marRight w:val="0"/>
              <w:marTop w:val="0"/>
              <w:marBottom w:val="0"/>
              <w:divBdr>
                <w:top w:val="none" w:sz="0" w:space="0" w:color="auto"/>
                <w:left w:val="none" w:sz="0" w:space="0" w:color="auto"/>
                <w:bottom w:val="none" w:sz="0" w:space="0" w:color="auto"/>
                <w:right w:val="none" w:sz="0" w:space="0" w:color="auto"/>
              </w:divBdr>
              <w:divsChild>
                <w:div w:id="15550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8507">
      <w:bodyDiv w:val="1"/>
      <w:marLeft w:val="0"/>
      <w:marRight w:val="0"/>
      <w:marTop w:val="0"/>
      <w:marBottom w:val="0"/>
      <w:divBdr>
        <w:top w:val="none" w:sz="0" w:space="0" w:color="auto"/>
        <w:left w:val="none" w:sz="0" w:space="0" w:color="auto"/>
        <w:bottom w:val="none" w:sz="0" w:space="0" w:color="auto"/>
        <w:right w:val="none" w:sz="0" w:space="0" w:color="auto"/>
      </w:divBdr>
      <w:divsChild>
        <w:div w:id="1650016721">
          <w:marLeft w:val="0"/>
          <w:marRight w:val="0"/>
          <w:marTop w:val="0"/>
          <w:marBottom w:val="0"/>
          <w:divBdr>
            <w:top w:val="none" w:sz="0" w:space="0" w:color="auto"/>
            <w:left w:val="none" w:sz="0" w:space="0" w:color="auto"/>
            <w:bottom w:val="none" w:sz="0" w:space="0" w:color="auto"/>
            <w:right w:val="none" w:sz="0" w:space="0" w:color="auto"/>
          </w:divBdr>
          <w:divsChild>
            <w:div w:id="423769971">
              <w:marLeft w:val="0"/>
              <w:marRight w:val="0"/>
              <w:marTop w:val="0"/>
              <w:marBottom w:val="0"/>
              <w:divBdr>
                <w:top w:val="none" w:sz="0" w:space="0" w:color="auto"/>
                <w:left w:val="none" w:sz="0" w:space="0" w:color="auto"/>
                <w:bottom w:val="none" w:sz="0" w:space="0" w:color="auto"/>
                <w:right w:val="none" w:sz="0" w:space="0" w:color="auto"/>
              </w:divBdr>
              <w:divsChild>
                <w:div w:id="18364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8034">
      <w:bodyDiv w:val="1"/>
      <w:marLeft w:val="0"/>
      <w:marRight w:val="0"/>
      <w:marTop w:val="0"/>
      <w:marBottom w:val="0"/>
      <w:divBdr>
        <w:top w:val="none" w:sz="0" w:space="0" w:color="auto"/>
        <w:left w:val="none" w:sz="0" w:space="0" w:color="auto"/>
        <w:bottom w:val="none" w:sz="0" w:space="0" w:color="auto"/>
        <w:right w:val="none" w:sz="0" w:space="0" w:color="auto"/>
      </w:divBdr>
    </w:div>
    <w:div w:id="406541817">
      <w:bodyDiv w:val="1"/>
      <w:marLeft w:val="0"/>
      <w:marRight w:val="0"/>
      <w:marTop w:val="0"/>
      <w:marBottom w:val="0"/>
      <w:divBdr>
        <w:top w:val="none" w:sz="0" w:space="0" w:color="auto"/>
        <w:left w:val="none" w:sz="0" w:space="0" w:color="auto"/>
        <w:bottom w:val="none" w:sz="0" w:space="0" w:color="auto"/>
        <w:right w:val="none" w:sz="0" w:space="0" w:color="auto"/>
      </w:divBdr>
      <w:divsChild>
        <w:div w:id="953025970">
          <w:marLeft w:val="0"/>
          <w:marRight w:val="0"/>
          <w:marTop w:val="0"/>
          <w:marBottom w:val="0"/>
          <w:divBdr>
            <w:top w:val="none" w:sz="0" w:space="0" w:color="auto"/>
            <w:left w:val="none" w:sz="0" w:space="0" w:color="auto"/>
            <w:bottom w:val="none" w:sz="0" w:space="0" w:color="auto"/>
            <w:right w:val="none" w:sz="0" w:space="0" w:color="auto"/>
          </w:divBdr>
          <w:divsChild>
            <w:div w:id="2134905962">
              <w:marLeft w:val="0"/>
              <w:marRight w:val="0"/>
              <w:marTop w:val="0"/>
              <w:marBottom w:val="0"/>
              <w:divBdr>
                <w:top w:val="none" w:sz="0" w:space="0" w:color="auto"/>
                <w:left w:val="none" w:sz="0" w:space="0" w:color="auto"/>
                <w:bottom w:val="none" w:sz="0" w:space="0" w:color="auto"/>
                <w:right w:val="none" w:sz="0" w:space="0" w:color="auto"/>
              </w:divBdr>
              <w:divsChild>
                <w:div w:id="3873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70007">
      <w:bodyDiv w:val="1"/>
      <w:marLeft w:val="0"/>
      <w:marRight w:val="0"/>
      <w:marTop w:val="0"/>
      <w:marBottom w:val="0"/>
      <w:divBdr>
        <w:top w:val="none" w:sz="0" w:space="0" w:color="auto"/>
        <w:left w:val="none" w:sz="0" w:space="0" w:color="auto"/>
        <w:bottom w:val="none" w:sz="0" w:space="0" w:color="auto"/>
        <w:right w:val="none" w:sz="0" w:space="0" w:color="auto"/>
      </w:divBdr>
      <w:divsChild>
        <w:div w:id="1687101243">
          <w:marLeft w:val="0"/>
          <w:marRight w:val="0"/>
          <w:marTop w:val="0"/>
          <w:marBottom w:val="0"/>
          <w:divBdr>
            <w:top w:val="none" w:sz="0" w:space="0" w:color="auto"/>
            <w:left w:val="none" w:sz="0" w:space="0" w:color="auto"/>
            <w:bottom w:val="none" w:sz="0" w:space="0" w:color="auto"/>
            <w:right w:val="none" w:sz="0" w:space="0" w:color="auto"/>
          </w:divBdr>
          <w:divsChild>
            <w:div w:id="2067604869">
              <w:marLeft w:val="0"/>
              <w:marRight w:val="0"/>
              <w:marTop w:val="0"/>
              <w:marBottom w:val="0"/>
              <w:divBdr>
                <w:top w:val="none" w:sz="0" w:space="0" w:color="auto"/>
                <w:left w:val="none" w:sz="0" w:space="0" w:color="auto"/>
                <w:bottom w:val="none" w:sz="0" w:space="0" w:color="auto"/>
                <w:right w:val="none" w:sz="0" w:space="0" w:color="auto"/>
              </w:divBdr>
              <w:divsChild>
                <w:div w:id="508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178">
      <w:bodyDiv w:val="1"/>
      <w:marLeft w:val="0"/>
      <w:marRight w:val="0"/>
      <w:marTop w:val="0"/>
      <w:marBottom w:val="0"/>
      <w:divBdr>
        <w:top w:val="none" w:sz="0" w:space="0" w:color="auto"/>
        <w:left w:val="none" w:sz="0" w:space="0" w:color="auto"/>
        <w:bottom w:val="none" w:sz="0" w:space="0" w:color="auto"/>
        <w:right w:val="none" w:sz="0" w:space="0" w:color="auto"/>
      </w:divBdr>
    </w:div>
    <w:div w:id="1667052418">
      <w:bodyDiv w:val="1"/>
      <w:marLeft w:val="0"/>
      <w:marRight w:val="0"/>
      <w:marTop w:val="0"/>
      <w:marBottom w:val="0"/>
      <w:divBdr>
        <w:top w:val="none" w:sz="0" w:space="0" w:color="auto"/>
        <w:left w:val="none" w:sz="0" w:space="0" w:color="auto"/>
        <w:bottom w:val="none" w:sz="0" w:space="0" w:color="auto"/>
        <w:right w:val="none" w:sz="0" w:space="0" w:color="auto"/>
      </w:divBdr>
      <w:divsChild>
        <w:div w:id="394592589">
          <w:marLeft w:val="0"/>
          <w:marRight w:val="0"/>
          <w:marTop w:val="0"/>
          <w:marBottom w:val="0"/>
          <w:divBdr>
            <w:top w:val="none" w:sz="0" w:space="0" w:color="auto"/>
            <w:left w:val="none" w:sz="0" w:space="0" w:color="auto"/>
            <w:bottom w:val="none" w:sz="0" w:space="0" w:color="auto"/>
            <w:right w:val="none" w:sz="0" w:space="0" w:color="auto"/>
          </w:divBdr>
          <w:divsChild>
            <w:div w:id="1270775040">
              <w:marLeft w:val="0"/>
              <w:marRight w:val="0"/>
              <w:marTop w:val="0"/>
              <w:marBottom w:val="0"/>
              <w:divBdr>
                <w:top w:val="none" w:sz="0" w:space="0" w:color="auto"/>
                <w:left w:val="none" w:sz="0" w:space="0" w:color="auto"/>
                <w:bottom w:val="none" w:sz="0" w:space="0" w:color="auto"/>
                <w:right w:val="none" w:sz="0" w:space="0" w:color="auto"/>
              </w:divBdr>
              <w:divsChild>
                <w:div w:id="1679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9029">
      <w:bodyDiv w:val="1"/>
      <w:marLeft w:val="0"/>
      <w:marRight w:val="0"/>
      <w:marTop w:val="0"/>
      <w:marBottom w:val="0"/>
      <w:divBdr>
        <w:top w:val="none" w:sz="0" w:space="0" w:color="auto"/>
        <w:left w:val="none" w:sz="0" w:space="0" w:color="auto"/>
        <w:bottom w:val="none" w:sz="0" w:space="0" w:color="auto"/>
        <w:right w:val="none" w:sz="0" w:space="0" w:color="auto"/>
      </w:divBdr>
      <w:divsChild>
        <w:div w:id="18825554">
          <w:marLeft w:val="0"/>
          <w:marRight w:val="0"/>
          <w:marTop w:val="0"/>
          <w:marBottom w:val="0"/>
          <w:divBdr>
            <w:top w:val="none" w:sz="0" w:space="0" w:color="auto"/>
            <w:left w:val="none" w:sz="0" w:space="0" w:color="auto"/>
            <w:bottom w:val="none" w:sz="0" w:space="0" w:color="auto"/>
            <w:right w:val="none" w:sz="0" w:space="0" w:color="auto"/>
          </w:divBdr>
          <w:divsChild>
            <w:div w:id="1339498011">
              <w:marLeft w:val="0"/>
              <w:marRight w:val="0"/>
              <w:marTop w:val="0"/>
              <w:marBottom w:val="0"/>
              <w:divBdr>
                <w:top w:val="none" w:sz="0" w:space="0" w:color="auto"/>
                <w:left w:val="none" w:sz="0" w:space="0" w:color="auto"/>
                <w:bottom w:val="none" w:sz="0" w:space="0" w:color="auto"/>
                <w:right w:val="none" w:sz="0" w:space="0" w:color="auto"/>
              </w:divBdr>
              <w:divsChild>
                <w:div w:id="16731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6489">
      <w:bodyDiv w:val="1"/>
      <w:marLeft w:val="0"/>
      <w:marRight w:val="0"/>
      <w:marTop w:val="0"/>
      <w:marBottom w:val="0"/>
      <w:divBdr>
        <w:top w:val="none" w:sz="0" w:space="0" w:color="auto"/>
        <w:left w:val="none" w:sz="0" w:space="0" w:color="auto"/>
        <w:bottom w:val="none" w:sz="0" w:space="0" w:color="auto"/>
        <w:right w:val="none" w:sz="0" w:space="0" w:color="auto"/>
      </w:divBdr>
      <w:divsChild>
        <w:div w:id="154221242">
          <w:marLeft w:val="0"/>
          <w:marRight w:val="0"/>
          <w:marTop w:val="0"/>
          <w:marBottom w:val="0"/>
          <w:divBdr>
            <w:top w:val="none" w:sz="0" w:space="0" w:color="auto"/>
            <w:left w:val="none" w:sz="0" w:space="0" w:color="auto"/>
            <w:bottom w:val="none" w:sz="0" w:space="0" w:color="auto"/>
            <w:right w:val="none" w:sz="0" w:space="0" w:color="auto"/>
          </w:divBdr>
          <w:divsChild>
            <w:div w:id="1532721384">
              <w:marLeft w:val="0"/>
              <w:marRight w:val="0"/>
              <w:marTop w:val="0"/>
              <w:marBottom w:val="0"/>
              <w:divBdr>
                <w:top w:val="none" w:sz="0" w:space="0" w:color="auto"/>
                <w:left w:val="none" w:sz="0" w:space="0" w:color="auto"/>
                <w:bottom w:val="none" w:sz="0" w:space="0" w:color="auto"/>
                <w:right w:val="none" w:sz="0" w:space="0" w:color="auto"/>
              </w:divBdr>
              <w:divsChild>
                <w:div w:id="8241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James</dc:creator>
  <cp:keywords/>
  <cp:lastModifiedBy>Caroline James</cp:lastModifiedBy>
  <cp:revision>109</cp:revision>
  <cp:lastPrinted>2018-05-23T15:12:00Z</cp:lastPrinted>
  <dcterms:created xsi:type="dcterms:W3CDTF">2018-11-26T15:22:00Z</dcterms:created>
  <dcterms:modified xsi:type="dcterms:W3CDTF">2018-11-27T03:49:00Z</dcterms:modified>
</cp:coreProperties>
</file>