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E442" w14:textId="77777777" w:rsidR="002C7A44" w:rsidRDefault="002C7A44" w:rsidP="00777BD9">
      <w:pPr>
        <w:jc w:val="both"/>
        <w:rPr>
          <w:b/>
        </w:rPr>
      </w:pPr>
      <w:bookmarkStart w:id="0" w:name="_GoBack"/>
      <w:bookmarkEnd w:id="0"/>
      <w:r w:rsidRPr="00AA68FF">
        <w:rPr>
          <w:b/>
        </w:rPr>
        <w:t xml:space="preserve">1. Summary and Outcome </w:t>
      </w:r>
    </w:p>
    <w:p w14:paraId="3301A529" w14:textId="77777777" w:rsidR="00AB36E2" w:rsidRDefault="00AB36E2" w:rsidP="00777BD9">
      <w:pPr>
        <w:jc w:val="both"/>
        <w:rPr>
          <w:b/>
        </w:rPr>
      </w:pPr>
    </w:p>
    <w:p w14:paraId="6129E71D" w14:textId="5C7E6C39" w:rsidR="00AB36E2" w:rsidRPr="00AB36E2" w:rsidRDefault="00AB36E2" w:rsidP="00777BD9">
      <w:pPr>
        <w:jc w:val="both"/>
      </w:pPr>
      <w:r w:rsidRPr="00AB36E2">
        <w:t>The Eu</w:t>
      </w:r>
      <w:r>
        <w:t>ro</w:t>
      </w:r>
      <w:r w:rsidR="00E75F3D">
        <w:t>pean Court of Human Rights held</w:t>
      </w:r>
      <w:r>
        <w:t xml:space="preserve"> that Turkey violated </w:t>
      </w:r>
      <w:r w:rsidR="00F44E44">
        <w:t xml:space="preserve">the right to respect for private life of two professors, </w:t>
      </w:r>
      <w:r w:rsidR="00605BBD">
        <w:t>principal authors</w:t>
      </w:r>
      <w:r w:rsidR="00F44E44">
        <w:t xml:space="preserve"> of a report o</w:t>
      </w:r>
      <w:r w:rsidR="008C66A6">
        <w:t>n</w:t>
      </w:r>
      <w:r w:rsidR="00C80AFD">
        <w:t xml:space="preserve"> minority and cultural rights,</w:t>
      </w:r>
      <w:r w:rsidR="008C66A6">
        <w:t xml:space="preserve"> by failing to </w:t>
      </w:r>
      <w:r w:rsidR="00C80AFD">
        <w:t>guarantee</w:t>
      </w:r>
      <w:r w:rsidR="00E75F3D">
        <w:t xml:space="preserve"> them a</w:t>
      </w:r>
      <w:r w:rsidR="00C80AFD">
        <w:t xml:space="preserve"> judicial </w:t>
      </w:r>
      <w:r w:rsidR="008C66A6">
        <w:t>protect</w:t>
      </w:r>
      <w:r w:rsidR="00C80AFD">
        <w:t>ion</w:t>
      </w:r>
      <w:r w:rsidR="008C66A6">
        <w:t xml:space="preserve"> against the verbal attacks of ul</w:t>
      </w:r>
      <w:r w:rsidR="002E1B0B">
        <w:t>tranationalist journalists that</w:t>
      </w:r>
      <w:r w:rsidR="0059454E">
        <w:t xml:space="preserve"> </w:t>
      </w:r>
      <w:r w:rsidR="008C66A6">
        <w:t>amounted to hate speech and incitement to violence.</w:t>
      </w:r>
      <w:r w:rsidR="00CB2390">
        <w:t xml:space="preserve"> The </w:t>
      </w:r>
      <w:r w:rsidR="00CB2390">
        <w:rPr>
          <w:rFonts w:eastAsia="Times New Roman" w:cs="Times New Roman"/>
        </w:rPr>
        <w:t xml:space="preserve">Court </w:t>
      </w:r>
      <w:r w:rsidR="00E75F3D">
        <w:rPr>
          <w:rFonts w:eastAsia="Times New Roman" w:cs="Times New Roman"/>
        </w:rPr>
        <w:t>concluded</w:t>
      </w:r>
      <w:r w:rsidR="00CB2390">
        <w:rPr>
          <w:rFonts w:eastAsia="Times New Roman" w:cs="Times New Roman"/>
        </w:rPr>
        <w:t xml:space="preserve"> that the content of the report </w:t>
      </w:r>
      <w:r w:rsidR="002E1B0B">
        <w:rPr>
          <w:rFonts w:eastAsia="Times New Roman" w:cs="Times New Roman"/>
        </w:rPr>
        <w:t>prepared</w:t>
      </w:r>
      <w:r w:rsidR="00CB2390">
        <w:rPr>
          <w:rFonts w:eastAsia="Times New Roman" w:cs="Times New Roman"/>
        </w:rPr>
        <w:t xml:space="preserve"> by the applicants fell within the exercise of </w:t>
      </w:r>
      <w:r w:rsidR="00E75F3D">
        <w:rPr>
          <w:rFonts w:eastAsia="Times New Roman" w:cs="Times New Roman"/>
        </w:rPr>
        <w:t xml:space="preserve">their </w:t>
      </w:r>
      <w:r w:rsidR="00CB2390">
        <w:rPr>
          <w:rFonts w:eastAsia="Times New Roman" w:cs="Times New Roman"/>
        </w:rPr>
        <w:t>freedom of expression that did</w:t>
      </w:r>
      <w:r w:rsidR="00CB2390" w:rsidRPr="008D44A4">
        <w:rPr>
          <w:rFonts w:eastAsia="Times New Roman" w:cs="Times New Roman"/>
        </w:rPr>
        <w:t xml:space="preserve"> not depend merely on the State’s duty not to interfere, but may require positive measures of protection, even in the sphere of relations between individuals.</w:t>
      </w:r>
    </w:p>
    <w:p w14:paraId="57CB745E" w14:textId="77777777" w:rsidR="002C7A44" w:rsidRDefault="002C7A44" w:rsidP="00777BD9">
      <w:pPr>
        <w:jc w:val="both"/>
        <w:rPr>
          <w:b/>
        </w:rPr>
      </w:pPr>
    </w:p>
    <w:p w14:paraId="333C236C" w14:textId="77777777" w:rsidR="00B43610" w:rsidRDefault="004D0FBA" w:rsidP="00777BD9">
      <w:pPr>
        <w:jc w:val="both"/>
        <w:rPr>
          <w:b/>
        </w:rPr>
      </w:pPr>
      <w:r w:rsidRPr="004D0FBA">
        <w:rPr>
          <w:b/>
        </w:rPr>
        <w:t>2. Facts</w:t>
      </w:r>
    </w:p>
    <w:p w14:paraId="2527C7F1" w14:textId="77777777" w:rsidR="004D0FBA" w:rsidRDefault="004D0FBA" w:rsidP="00777BD9">
      <w:pPr>
        <w:jc w:val="both"/>
        <w:rPr>
          <w:b/>
        </w:rPr>
      </w:pPr>
    </w:p>
    <w:p w14:paraId="022E3D00" w14:textId="10460B36" w:rsidR="001075EA" w:rsidRDefault="004D0FBA" w:rsidP="00777BD9">
      <w:pPr>
        <w:jc w:val="both"/>
        <w:rPr>
          <w:bCs/>
        </w:rPr>
      </w:pPr>
      <w:r>
        <w:t>The applicants,</w:t>
      </w:r>
      <w:r w:rsidR="001F5602">
        <w:t xml:space="preserve"> Professor </w:t>
      </w:r>
      <w:r>
        <w:t xml:space="preserve">İbrahim </w:t>
      </w:r>
      <w:proofErr w:type="spellStart"/>
      <w:r>
        <w:t>Özden</w:t>
      </w:r>
      <w:proofErr w:type="spellEnd"/>
      <w:r>
        <w:t xml:space="preserve"> </w:t>
      </w:r>
      <w:proofErr w:type="spellStart"/>
      <w:r>
        <w:t>Kaboğlu</w:t>
      </w:r>
      <w:proofErr w:type="spellEnd"/>
      <w:r>
        <w:t xml:space="preserve"> and</w:t>
      </w:r>
      <w:r w:rsidR="001F5602">
        <w:t xml:space="preserve"> Professor</w:t>
      </w:r>
      <w:r>
        <w:t xml:space="preserve"> Baskın Oran</w:t>
      </w:r>
      <w:r w:rsidR="001F5602">
        <w:t xml:space="preserve"> </w:t>
      </w:r>
      <w:r>
        <w:t>were nominated members of t</w:t>
      </w:r>
      <w:r w:rsidRPr="004D0FBA">
        <w:t xml:space="preserve">he Prime Ministry Advisory </w:t>
      </w:r>
      <w:r>
        <w:t>Council</w:t>
      </w:r>
      <w:r w:rsidRPr="004D0FBA">
        <w:t xml:space="preserve"> on Human Rights</w:t>
      </w:r>
      <w:r>
        <w:t xml:space="preserve"> on February 5, 2002. The Advisory Council was charged with providing the government with opinions, recommendations and reports on any question related to the promotion and protection of human rights. During its first meeting</w:t>
      </w:r>
      <w:r w:rsidRPr="004D0FBA">
        <w:t xml:space="preserve"> </w:t>
      </w:r>
      <w:r>
        <w:t>on February 26, 2004, the Board elec</w:t>
      </w:r>
      <w:r w:rsidR="00F44E44">
        <w:t xml:space="preserve">ted Professor </w:t>
      </w:r>
      <w:proofErr w:type="spellStart"/>
      <w:r w:rsidR="00F44E44">
        <w:t>Kaboğlu</w:t>
      </w:r>
      <w:proofErr w:type="spellEnd"/>
      <w:r w:rsidR="00F44E44">
        <w:t xml:space="preserve"> its chair and Professor</w:t>
      </w:r>
      <w:r>
        <w:t xml:space="preserve"> Oran the chair of the Working Committee on questions related to minority and cultural rights. On October 1</w:t>
      </w:r>
      <w:r w:rsidRPr="004D0FBA">
        <w:rPr>
          <w:vertAlign w:val="superscript"/>
        </w:rPr>
        <w:t>st</w:t>
      </w:r>
      <w:r>
        <w:t>, 2004 General Assembly of the Advisory Council adopted its report on m</w:t>
      </w:r>
      <w:r w:rsidR="00F44E44">
        <w:t>inority and cultural rights which</w:t>
      </w:r>
      <w:r>
        <w:t xml:space="preserve"> </w:t>
      </w:r>
      <w:r w:rsidR="00F44E44">
        <w:t xml:space="preserve">essentially </w:t>
      </w:r>
      <w:r>
        <w:t>focused on the definition and cultural aspect of protection of minorities in Turkey</w:t>
      </w:r>
      <w:r w:rsidR="00F44E44">
        <w:t xml:space="preserve">. </w:t>
      </w:r>
      <w:r w:rsidR="00731EAA">
        <w:t xml:space="preserve">The report basically identified two principal reasons of the problematic situation of minorities in Turkey: first, a theoretical reason related to the definition of the supra-identity based on </w:t>
      </w:r>
      <w:r w:rsidR="00005609">
        <w:t xml:space="preserve">the </w:t>
      </w:r>
      <w:r w:rsidR="00731EAA">
        <w:t xml:space="preserve">race and religion as </w:t>
      </w:r>
      <w:r w:rsidR="00005609">
        <w:t>Turk (</w:t>
      </w:r>
      <w:proofErr w:type="spellStart"/>
      <w:r w:rsidR="00005609">
        <w:t>Türk</w:t>
      </w:r>
      <w:proofErr w:type="spellEnd"/>
      <w:r w:rsidR="00005609">
        <w:t>) and not on being</w:t>
      </w:r>
      <w:r w:rsidR="00731EAA">
        <w:t xml:space="preserve"> citizen of Turkey (</w:t>
      </w:r>
      <w:proofErr w:type="spellStart"/>
      <w:r w:rsidR="00731EAA">
        <w:t>Türkiyeli</w:t>
      </w:r>
      <w:proofErr w:type="spellEnd"/>
      <w:r w:rsidR="00731EAA">
        <w:t xml:space="preserve">), which resulted in alienating the infra-identities of citizens not belonging to the Turkish </w:t>
      </w:r>
      <w:r w:rsidR="002E1B0B">
        <w:t>“</w:t>
      </w:r>
      <w:r w:rsidR="00005609">
        <w:t>race</w:t>
      </w:r>
      <w:r w:rsidR="00A54CB4">
        <w:t>”</w:t>
      </w:r>
      <w:r w:rsidR="00005609">
        <w:t xml:space="preserve"> or Muslim religion;</w:t>
      </w:r>
      <w:r w:rsidR="00731EAA">
        <w:t xml:space="preserve"> second</w:t>
      </w:r>
      <w:r w:rsidR="00005609">
        <w:t xml:space="preserve">, a historical and political reason arising from the paranoia inherited from the disintegration of the country in the recent past, </w:t>
      </w:r>
      <w:r w:rsidR="005D0B59">
        <w:t xml:space="preserve">depicted in the report </w:t>
      </w:r>
      <w:r w:rsidR="00BA15D2">
        <w:t xml:space="preserve">as </w:t>
      </w:r>
      <w:r w:rsidR="002E1B0B">
        <w:t>“</w:t>
      </w:r>
      <w:r w:rsidR="00BA15D2">
        <w:t>syndrome of Sevres</w:t>
      </w:r>
      <w:r w:rsidR="00A54CB4">
        <w:t>”</w:t>
      </w:r>
      <w:r w:rsidR="00005609">
        <w:t xml:space="preserve">. </w:t>
      </w:r>
      <w:r w:rsidR="00BA15D2">
        <w:t>The Report proposed to review the notion of citizenship and to adopt a multi-identity, multicultural, democratic, liberal and pluralistic social model. It suggested therefore rewriting of the Constitution and relevant laws in order to guarantee the right of</w:t>
      </w:r>
      <w:r w:rsidR="001075EA">
        <w:t xml:space="preserve"> people </w:t>
      </w:r>
      <w:r w:rsidR="005D0B59">
        <w:t>with</w:t>
      </w:r>
      <w:r w:rsidR="001075EA">
        <w:t xml:space="preserve"> different identities and cultures to preserve and develop their identities on the basis of an equal citizenship. The Report also emphasized the importance of reforming central and local administration in order to </w:t>
      </w:r>
      <w:r w:rsidR="005D0B59">
        <w:t>make</w:t>
      </w:r>
      <w:r w:rsidR="001075EA">
        <w:t xml:space="preserve"> them more transparent and democratic and of signing and ratifying international conventions of human rights, namely the </w:t>
      </w:r>
      <w:r w:rsidR="001075EA" w:rsidRPr="001075EA">
        <w:t>F</w:t>
      </w:r>
      <w:r w:rsidR="001075EA" w:rsidRPr="001075EA">
        <w:rPr>
          <w:bCs/>
        </w:rPr>
        <w:t>ramework Convention</w:t>
      </w:r>
      <w:r w:rsidR="001075EA" w:rsidRPr="001075EA">
        <w:t> for the Protection of National </w:t>
      </w:r>
      <w:r w:rsidR="001075EA" w:rsidRPr="001075EA">
        <w:rPr>
          <w:bCs/>
        </w:rPr>
        <w:t>Minorities</w:t>
      </w:r>
      <w:r w:rsidR="001075EA">
        <w:rPr>
          <w:bCs/>
        </w:rPr>
        <w:t xml:space="preserve"> of Council of Eur</w:t>
      </w:r>
      <w:r w:rsidR="005D0B59">
        <w:rPr>
          <w:bCs/>
        </w:rPr>
        <w:t>ope</w:t>
      </w:r>
      <w:r w:rsidR="005D0B59" w:rsidRPr="005D0B59">
        <w:t xml:space="preserve"> </w:t>
      </w:r>
      <w:r w:rsidR="005D0B59">
        <w:t>without any reservation.</w:t>
      </w:r>
    </w:p>
    <w:p w14:paraId="42E6D150" w14:textId="77777777" w:rsidR="001075EA" w:rsidRDefault="001075EA" w:rsidP="00777BD9">
      <w:pPr>
        <w:jc w:val="both"/>
        <w:rPr>
          <w:bCs/>
        </w:rPr>
      </w:pPr>
    </w:p>
    <w:p w14:paraId="2BF8B944" w14:textId="32AFD150" w:rsidR="001075EA" w:rsidRDefault="003A4621" w:rsidP="00777BD9">
      <w:pPr>
        <w:jc w:val="both"/>
        <w:rPr>
          <w:bCs/>
          <w:i/>
        </w:rPr>
      </w:pPr>
      <w:r>
        <w:rPr>
          <w:bCs/>
        </w:rPr>
        <w:t>As soon as the report was published</w:t>
      </w:r>
      <w:r w:rsidR="005D0B59">
        <w:rPr>
          <w:bCs/>
        </w:rPr>
        <w:t>, Professor</w:t>
      </w:r>
      <w:r w:rsidR="00FB741C">
        <w:rPr>
          <w:bCs/>
        </w:rPr>
        <w:t xml:space="preserve"> </w:t>
      </w:r>
      <w:proofErr w:type="spellStart"/>
      <w:r w:rsidR="00FB741C">
        <w:rPr>
          <w:bCs/>
        </w:rPr>
        <w:t>Kaboglu</w:t>
      </w:r>
      <w:proofErr w:type="spellEnd"/>
      <w:r w:rsidR="00FB741C">
        <w:rPr>
          <w:bCs/>
        </w:rPr>
        <w:t xml:space="preserve"> and </w:t>
      </w:r>
      <w:r w:rsidR="005D0B59">
        <w:rPr>
          <w:bCs/>
        </w:rPr>
        <w:t xml:space="preserve">Professor </w:t>
      </w:r>
      <w:r w:rsidR="00FB741C">
        <w:rPr>
          <w:bCs/>
        </w:rPr>
        <w:t>Oran</w:t>
      </w:r>
      <w:r>
        <w:rPr>
          <w:bCs/>
        </w:rPr>
        <w:t xml:space="preserve"> </w:t>
      </w:r>
      <w:r w:rsidR="005D0B59">
        <w:rPr>
          <w:bCs/>
        </w:rPr>
        <w:t xml:space="preserve">were </w:t>
      </w:r>
      <w:r w:rsidR="00FB741C">
        <w:rPr>
          <w:bCs/>
        </w:rPr>
        <w:t xml:space="preserve">attacked by the statements of public officials and </w:t>
      </w:r>
      <w:r w:rsidR="00830017">
        <w:rPr>
          <w:bCs/>
        </w:rPr>
        <w:t xml:space="preserve">by </w:t>
      </w:r>
      <w:r w:rsidR="00FB741C">
        <w:rPr>
          <w:bCs/>
        </w:rPr>
        <w:t xml:space="preserve">several </w:t>
      </w:r>
      <w:r w:rsidR="00830017">
        <w:rPr>
          <w:bCs/>
        </w:rPr>
        <w:t xml:space="preserve">newspaper </w:t>
      </w:r>
      <w:r w:rsidR="00FB741C">
        <w:rPr>
          <w:bCs/>
        </w:rPr>
        <w:t xml:space="preserve">articles </w:t>
      </w:r>
      <w:r w:rsidR="00830017">
        <w:rPr>
          <w:bCs/>
        </w:rPr>
        <w:t>condemning</w:t>
      </w:r>
      <w:r w:rsidR="00FB741C">
        <w:rPr>
          <w:bCs/>
        </w:rPr>
        <w:t xml:space="preserve"> the content of the report and accusing th</w:t>
      </w:r>
      <w:r w:rsidR="00830017">
        <w:rPr>
          <w:bCs/>
        </w:rPr>
        <w:t xml:space="preserve">e applicants of betraying their </w:t>
      </w:r>
      <w:r w:rsidR="00FB741C">
        <w:rPr>
          <w:bCs/>
        </w:rPr>
        <w:t xml:space="preserve">country. </w:t>
      </w:r>
      <w:r w:rsidR="00830017">
        <w:rPr>
          <w:bCs/>
        </w:rPr>
        <w:t>D</w:t>
      </w:r>
      <w:r w:rsidR="00F846DD">
        <w:rPr>
          <w:bCs/>
        </w:rPr>
        <w:t xml:space="preserve">uring a parliamentary session, </w:t>
      </w:r>
      <w:r w:rsidR="00FB741C">
        <w:rPr>
          <w:bCs/>
        </w:rPr>
        <w:t xml:space="preserve">a deputy accused the applicants of being </w:t>
      </w:r>
      <w:r w:rsidR="002E1B0B">
        <w:rPr>
          <w:bCs/>
        </w:rPr>
        <w:t>“</w:t>
      </w:r>
      <w:r w:rsidR="00FB741C" w:rsidRPr="00F846DD">
        <w:rPr>
          <w:bCs/>
          <w:i/>
        </w:rPr>
        <w:t>enrolled intellectuals</w:t>
      </w:r>
      <w:r w:rsidR="00A54CB4">
        <w:rPr>
          <w:bCs/>
          <w:i/>
        </w:rPr>
        <w:t>”</w:t>
      </w:r>
      <w:r w:rsidR="00FB741C" w:rsidRPr="00F846DD">
        <w:rPr>
          <w:bCs/>
          <w:i/>
        </w:rPr>
        <w:t xml:space="preserve">, </w:t>
      </w:r>
      <w:r w:rsidR="002E1B0B">
        <w:rPr>
          <w:bCs/>
          <w:i/>
        </w:rPr>
        <w:t>“</w:t>
      </w:r>
      <w:r w:rsidR="00FB741C" w:rsidRPr="00F846DD">
        <w:rPr>
          <w:bCs/>
          <w:i/>
        </w:rPr>
        <w:t>traitors</w:t>
      </w:r>
      <w:r w:rsidR="00A54CB4">
        <w:rPr>
          <w:bCs/>
          <w:i/>
        </w:rPr>
        <w:t>”</w:t>
      </w:r>
      <w:r w:rsidR="007371BC">
        <w:rPr>
          <w:bCs/>
          <w:i/>
        </w:rPr>
        <w:t>, “</w:t>
      </w:r>
      <w:r w:rsidR="00FB741C" w:rsidRPr="00F846DD">
        <w:rPr>
          <w:bCs/>
          <w:i/>
        </w:rPr>
        <w:t>enemies of Turks</w:t>
      </w:r>
      <w:r w:rsidR="00A54CB4">
        <w:rPr>
          <w:bCs/>
          <w:i/>
        </w:rPr>
        <w:t>”</w:t>
      </w:r>
      <w:r w:rsidR="005D0B59">
        <w:rPr>
          <w:bCs/>
        </w:rPr>
        <w:t>. The vice Prime minister</w:t>
      </w:r>
      <w:r w:rsidR="00FB741C">
        <w:rPr>
          <w:bCs/>
        </w:rPr>
        <w:t xml:space="preserve"> called the report </w:t>
      </w:r>
      <w:r w:rsidR="002E1B0B">
        <w:rPr>
          <w:bCs/>
        </w:rPr>
        <w:t>“</w:t>
      </w:r>
      <w:r w:rsidR="00FB741C" w:rsidRPr="005D0B59">
        <w:rPr>
          <w:bCs/>
          <w:i/>
        </w:rPr>
        <w:t xml:space="preserve">marginal report of the </w:t>
      </w:r>
      <w:r w:rsidR="007371BC" w:rsidRPr="005D0B59">
        <w:rPr>
          <w:bCs/>
          <w:i/>
        </w:rPr>
        <w:t>margi</w:t>
      </w:r>
      <w:r w:rsidR="007371BC">
        <w:rPr>
          <w:bCs/>
          <w:i/>
        </w:rPr>
        <w:t>nalized</w:t>
      </w:r>
      <w:r w:rsidR="00A54CB4">
        <w:rPr>
          <w:bCs/>
          <w:i/>
        </w:rPr>
        <w:t>”</w:t>
      </w:r>
      <w:r w:rsidR="005D0B59">
        <w:rPr>
          <w:bCs/>
        </w:rPr>
        <w:t>; the M</w:t>
      </w:r>
      <w:r w:rsidR="00F846DD">
        <w:rPr>
          <w:bCs/>
        </w:rPr>
        <w:t>inister of Justice</w:t>
      </w:r>
      <w:r w:rsidR="00FB741C">
        <w:rPr>
          <w:bCs/>
        </w:rPr>
        <w:t xml:space="preserve"> qualified it </w:t>
      </w:r>
      <w:r w:rsidR="00FB741C">
        <w:rPr>
          <w:bCs/>
        </w:rPr>
        <w:lastRenderedPageBreak/>
        <w:t xml:space="preserve">as </w:t>
      </w:r>
      <w:r w:rsidR="002E1B0B">
        <w:rPr>
          <w:bCs/>
        </w:rPr>
        <w:t>“</w:t>
      </w:r>
      <w:r w:rsidR="00F846DD" w:rsidRPr="005D0B59">
        <w:rPr>
          <w:bCs/>
          <w:i/>
        </w:rPr>
        <w:t>an intelle</w:t>
      </w:r>
      <w:r w:rsidR="005D0B59">
        <w:rPr>
          <w:bCs/>
          <w:i/>
        </w:rPr>
        <w:t>ctual dissension</w:t>
      </w:r>
      <w:r w:rsidR="00A54CB4">
        <w:rPr>
          <w:bCs/>
          <w:i/>
        </w:rPr>
        <w:t>”</w:t>
      </w:r>
      <w:r w:rsidR="00F846DD">
        <w:rPr>
          <w:bCs/>
        </w:rPr>
        <w:t>. On November 1</w:t>
      </w:r>
      <w:r w:rsidR="00F846DD" w:rsidRPr="00F846DD">
        <w:rPr>
          <w:bCs/>
          <w:vertAlign w:val="superscript"/>
        </w:rPr>
        <w:t>st</w:t>
      </w:r>
      <w:r w:rsidR="005D0B59">
        <w:rPr>
          <w:bCs/>
        </w:rPr>
        <w:t>, 2004, as Chief of the Advisory C</w:t>
      </w:r>
      <w:r w:rsidR="00F846DD">
        <w:rPr>
          <w:bCs/>
        </w:rPr>
        <w:t xml:space="preserve">ouncil, </w:t>
      </w:r>
      <w:r w:rsidR="00830017">
        <w:rPr>
          <w:bCs/>
        </w:rPr>
        <w:t>Professor</w:t>
      </w:r>
      <w:r w:rsidR="00F846DD">
        <w:rPr>
          <w:bCs/>
        </w:rPr>
        <w:t xml:space="preserve"> </w:t>
      </w:r>
      <w:proofErr w:type="spellStart"/>
      <w:r w:rsidR="00F846DD">
        <w:rPr>
          <w:bCs/>
        </w:rPr>
        <w:t>Kaboglu</w:t>
      </w:r>
      <w:proofErr w:type="spellEnd"/>
      <w:r w:rsidR="00F846DD">
        <w:rPr>
          <w:bCs/>
        </w:rPr>
        <w:t xml:space="preserve"> organized a press conference to </w:t>
      </w:r>
      <w:r w:rsidR="005D0B59">
        <w:rPr>
          <w:bCs/>
        </w:rPr>
        <w:t>answer</w:t>
      </w:r>
      <w:r w:rsidR="00F846DD">
        <w:rPr>
          <w:bCs/>
        </w:rPr>
        <w:t xml:space="preserve"> the critics over the report</w:t>
      </w:r>
      <w:r w:rsidR="005D0B59">
        <w:rPr>
          <w:bCs/>
        </w:rPr>
        <w:t>,</w:t>
      </w:r>
      <w:r w:rsidR="00F846DD">
        <w:rPr>
          <w:bCs/>
        </w:rPr>
        <w:t xml:space="preserve"> which was interrupted by an ultranationalist unionist</w:t>
      </w:r>
      <w:r w:rsidR="005D0B59">
        <w:rPr>
          <w:bCs/>
        </w:rPr>
        <w:t>,</w:t>
      </w:r>
      <w:r w:rsidR="00F846DD">
        <w:rPr>
          <w:bCs/>
        </w:rPr>
        <w:t xml:space="preserve"> a</w:t>
      </w:r>
      <w:r w:rsidR="00BD2212">
        <w:rPr>
          <w:bCs/>
        </w:rPr>
        <w:t>lso member of the Advisory</w:t>
      </w:r>
      <w:r w:rsidR="005D0B59">
        <w:rPr>
          <w:bCs/>
        </w:rPr>
        <w:t xml:space="preserve"> Council,</w:t>
      </w:r>
      <w:r w:rsidR="00BD2212">
        <w:rPr>
          <w:bCs/>
        </w:rPr>
        <w:t xml:space="preserve"> who tore</w:t>
      </w:r>
      <w:r w:rsidR="00F846DD">
        <w:rPr>
          <w:bCs/>
        </w:rPr>
        <w:t xml:space="preserve"> th</w:t>
      </w:r>
      <w:r w:rsidR="00830017">
        <w:rPr>
          <w:bCs/>
        </w:rPr>
        <w:t>e copy of the report held by Professor</w:t>
      </w:r>
      <w:r w:rsidR="00F846DD">
        <w:rPr>
          <w:bCs/>
        </w:rPr>
        <w:t xml:space="preserve"> </w:t>
      </w:r>
      <w:proofErr w:type="spellStart"/>
      <w:r w:rsidR="00F846DD">
        <w:rPr>
          <w:bCs/>
        </w:rPr>
        <w:t>Kaboglu</w:t>
      </w:r>
      <w:proofErr w:type="spellEnd"/>
      <w:r w:rsidR="00F846DD">
        <w:rPr>
          <w:bCs/>
        </w:rPr>
        <w:t xml:space="preserve"> and </w:t>
      </w:r>
      <w:r w:rsidR="00BD2212">
        <w:rPr>
          <w:bCs/>
        </w:rPr>
        <w:t xml:space="preserve">said: </w:t>
      </w:r>
      <w:r w:rsidR="002E1B0B">
        <w:rPr>
          <w:bCs/>
          <w:i/>
        </w:rPr>
        <w:t>“</w:t>
      </w:r>
      <w:r w:rsidR="00BD2212" w:rsidRPr="00BD2212">
        <w:rPr>
          <w:bCs/>
          <w:i/>
        </w:rPr>
        <w:t>This report is erroneous and illegal, we will not let it be read</w:t>
      </w:r>
      <w:r w:rsidR="00A54CB4">
        <w:rPr>
          <w:bCs/>
          <w:i/>
        </w:rPr>
        <w:t>”</w:t>
      </w:r>
      <w:r w:rsidR="00BD2212" w:rsidRPr="00BD2212">
        <w:rPr>
          <w:bCs/>
          <w:i/>
        </w:rPr>
        <w:t>.</w:t>
      </w:r>
    </w:p>
    <w:p w14:paraId="7FE82FF4" w14:textId="77777777" w:rsidR="00BD2212" w:rsidRDefault="00BD2212" w:rsidP="00777BD9">
      <w:pPr>
        <w:jc w:val="both"/>
        <w:rPr>
          <w:bCs/>
        </w:rPr>
      </w:pPr>
    </w:p>
    <w:p w14:paraId="0984A412" w14:textId="2768F399" w:rsidR="00830017" w:rsidRPr="00830017" w:rsidRDefault="00BD2212" w:rsidP="00777BD9">
      <w:pPr>
        <w:jc w:val="both"/>
        <w:rPr>
          <w:bCs/>
          <w:i/>
        </w:rPr>
      </w:pPr>
      <w:r>
        <w:rPr>
          <w:bCs/>
        </w:rPr>
        <w:t>The applicants received death threats and were personally attacked in several press articles by the terms</w:t>
      </w:r>
      <w:r w:rsidR="001F5602">
        <w:rPr>
          <w:bCs/>
        </w:rPr>
        <w:t xml:space="preserve"> such as</w:t>
      </w:r>
      <w:r>
        <w:rPr>
          <w:bCs/>
        </w:rPr>
        <w:t xml:space="preserve"> </w:t>
      </w:r>
      <w:r w:rsidR="002E1B0B">
        <w:rPr>
          <w:bCs/>
        </w:rPr>
        <w:t>“</w:t>
      </w:r>
      <w:r w:rsidR="00830017">
        <w:rPr>
          <w:bCs/>
          <w:i/>
        </w:rPr>
        <w:t>dark people</w:t>
      </w:r>
      <w:r w:rsidR="00A54CB4">
        <w:rPr>
          <w:bCs/>
          <w:i/>
        </w:rPr>
        <w:t>”</w:t>
      </w:r>
      <w:r w:rsidR="005D0B59">
        <w:rPr>
          <w:bCs/>
          <w:i/>
        </w:rPr>
        <w:t xml:space="preserve">, </w:t>
      </w:r>
      <w:r w:rsidR="002E1B0B">
        <w:rPr>
          <w:bCs/>
          <w:i/>
        </w:rPr>
        <w:t>“</w:t>
      </w:r>
      <w:r w:rsidR="005D0B59">
        <w:rPr>
          <w:bCs/>
          <w:i/>
        </w:rPr>
        <w:t>leftist</w:t>
      </w:r>
      <w:r w:rsidRPr="00BD2212">
        <w:rPr>
          <w:bCs/>
          <w:i/>
        </w:rPr>
        <w:t>s, separatists, subversives, unhappy with the unity of the country, [people] to be condemned to death</w:t>
      </w:r>
      <w:r w:rsidR="00A54CB4">
        <w:rPr>
          <w:bCs/>
          <w:i/>
        </w:rPr>
        <w:t>”</w:t>
      </w:r>
      <w:r>
        <w:rPr>
          <w:bCs/>
          <w:i/>
        </w:rPr>
        <w:t xml:space="preserve">, </w:t>
      </w:r>
      <w:r w:rsidR="002E1B0B">
        <w:rPr>
          <w:bCs/>
          <w:i/>
        </w:rPr>
        <w:t>“</w:t>
      </w:r>
      <w:r>
        <w:rPr>
          <w:bCs/>
          <w:i/>
        </w:rPr>
        <w:t>those who are maintained by the wild west</w:t>
      </w:r>
      <w:r w:rsidR="00A54CB4">
        <w:rPr>
          <w:bCs/>
          <w:i/>
        </w:rPr>
        <w:t>”</w:t>
      </w:r>
      <w:r>
        <w:rPr>
          <w:bCs/>
          <w:i/>
        </w:rPr>
        <w:t xml:space="preserve">, </w:t>
      </w:r>
      <w:r w:rsidR="002E1B0B">
        <w:rPr>
          <w:bCs/>
          <w:i/>
        </w:rPr>
        <w:t>“</w:t>
      </w:r>
      <w:r>
        <w:rPr>
          <w:bCs/>
          <w:i/>
        </w:rPr>
        <w:t>traitors</w:t>
      </w:r>
      <w:r w:rsidR="00A54CB4">
        <w:rPr>
          <w:bCs/>
          <w:i/>
        </w:rPr>
        <w:t>”</w:t>
      </w:r>
      <w:r>
        <w:rPr>
          <w:bCs/>
          <w:i/>
        </w:rPr>
        <w:t xml:space="preserve">, </w:t>
      </w:r>
      <w:r w:rsidR="002E1B0B">
        <w:rPr>
          <w:bCs/>
          <w:i/>
        </w:rPr>
        <w:t>“</w:t>
      </w:r>
      <w:r>
        <w:rPr>
          <w:bCs/>
          <w:i/>
        </w:rPr>
        <w:t>punks</w:t>
      </w:r>
      <w:r w:rsidR="00A54CB4">
        <w:rPr>
          <w:bCs/>
          <w:i/>
        </w:rPr>
        <w:t>”</w:t>
      </w:r>
      <w:r>
        <w:rPr>
          <w:bCs/>
          <w:i/>
        </w:rPr>
        <w:t>,</w:t>
      </w:r>
      <w:r w:rsidR="005D0B59">
        <w:rPr>
          <w:bCs/>
          <w:i/>
        </w:rPr>
        <w:t xml:space="preserve"> </w:t>
      </w:r>
      <w:r w:rsidR="002E1B0B">
        <w:rPr>
          <w:bCs/>
          <w:i/>
        </w:rPr>
        <w:t>“</w:t>
      </w:r>
      <w:r w:rsidR="005D0B59">
        <w:rPr>
          <w:bCs/>
          <w:i/>
        </w:rPr>
        <w:t>poor spy and</w:t>
      </w:r>
      <w:r w:rsidR="00830017">
        <w:rPr>
          <w:bCs/>
          <w:i/>
        </w:rPr>
        <w:t xml:space="preserve"> apostate</w:t>
      </w:r>
      <w:r w:rsidR="00A54CB4">
        <w:rPr>
          <w:bCs/>
          <w:i/>
        </w:rPr>
        <w:t>”</w:t>
      </w:r>
      <w:r>
        <w:rPr>
          <w:bCs/>
          <w:i/>
        </w:rPr>
        <w:t>, dogs-</w:t>
      </w:r>
      <w:r w:rsidR="00830017">
        <w:rPr>
          <w:bCs/>
          <w:i/>
        </w:rPr>
        <w:t>lower, snakes, toadies,</w:t>
      </w:r>
      <w:r w:rsidRPr="00BD2212">
        <w:rPr>
          <w:bCs/>
          <w:i/>
        </w:rPr>
        <w:t xml:space="preserve"> jackals</w:t>
      </w:r>
      <w:r w:rsidR="00A54CB4">
        <w:rPr>
          <w:bCs/>
          <w:i/>
        </w:rPr>
        <w:t>”</w:t>
      </w:r>
      <w:r>
        <w:rPr>
          <w:bCs/>
          <w:i/>
        </w:rPr>
        <w:t xml:space="preserve">, </w:t>
      </w:r>
      <w:r w:rsidR="002E1B0B">
        <w:rPr>
          <w:bCs/>
          <w:i/>
        </w:rPr>
        <w:t>“</w:t>
      </w:r>
      <w:r w:rsidRPr="00BD2212">
        <w:t xml:space="preserve"> </w:t>
      </w:r>
      <w:r w:rsidR="00830017">
        <w:rPr>
          <w:bCs/>
          <w:i/>
        </w:rPr>
        <w:t>stupid</w:t>
      </w:r>
      <w:r>
        <w:rPr>
          <w:bCs/>
          <w:i/>
        </w:rPr>
        <w:t xml:space="preserve"> </w:t>
      </w:r>
      <w:r w:rsidRPr="00BD2212">
        <w:rPr>
          <w:bCs/>
          <w:i/>
        </w:rPr>
        <w:t>and idiots who pretend to be clever</w:t>
      </w:r>
      <w:r w:rsidR="00A54CB4">
        <w:rPr>
          <w:bCs/>
          <w:i/>
        </w:rPr>
        <w:t>”</w:t>
      </w:r>
      <w:r>
        <w:rPr>
          <w:bCs/>
          <w:i/>
        </w:rPr>
        <w:t xml:space="preserve">, </w:t>
      </w:r>
      <w:r w:rsidR="002E1B0B">
        <w:rPr>
          <w:bCs/>
          <w:i/>
        </w:rPr>
        <w:t>“</w:t>
      </w:r>
      <w:r w:rsidR="007371BC">
        <w:rPr>
          <w:bCs/>
          <w:i/>
        </w:rPr>
        <w:t>Trojan</w:t>
      </w:r>
      <w:r>
        <w:rPr>
          <w:bCs/>
          <w:i/>
        </w:rPr>
        <w:t xml:space="preserve"> horse</w:t>
      </w:r>
      <w:r w:rsidR="00A54CB4">
        <w:rPr>
          <w:bCs/>
          <w:i/>
        </w:rPr>
        <w:t>”</w:t>
      </w:r>
      <w:r>
        <w:rPr>
          <w:bCs/>
          <w:i/>
        </w:rPr>
        <w:t xml:space="preserve">, </w:t>
      </w:r>
      <w:r w:rsidR="002E1B0B">
        <w:rPr>
          <w:bCs/>
          <w:i/>
        </w:rPr>
        <w:t>“</w:t>
      </w:r>
      <w:r w:rsidR="007371BC">
        <w:rPr>
          <w:bCs/>
          <w:i/>
        </w:rPr>
        <w:t>miserable people</w:t>
      </w:r>
      <w:r w:rsidR="00A54CB4">
        <w:rPr>
          <w:bCs/>
          <w:i/>
        </w:rPr>
        <w:t>”</w:t>
      </w:r>
      <w:r w:rsidR="00830017">
        <w:rPr>
          <w:bCs/>
          <w:i/>
        </w:rPr>
        <w:t xml:space="preserve">, </w:t>
      </w:r>
      <w:r w:rsidR="002E1B0B">
        <w:rPr>
          <w:bCs/>
          <w:i/>
        </w:rPr>
        <w:t>“</w:t>
      </w:r>
      <w:r w:rsidR="00830017" w:rsidRPr="00830017">
        <w:t xml:space="preserve"> </w:t>
      </w:r>
      <w:r w:rsidR="002E1B0B">
        <w:t>“</w:t>
      </w:r>
      <w:r w:rsidR="00830017" w:rsidRPr="00830017">
        <w:rPr>
          <w:bCs/>
          <w:i/>
        </w:rPr>
        <w:t>ex-communist apostates</w:t>
      </w:r>
      <w:r w:rsidR="00A54CB4">
        <w:rPr>
          <w:bCs/>
          <w:i/>
        </w:rPr>
        <w:t>”</w:t>
      </w:r>
      <w:r w:rsidR="00830017">
        <w:rPr>
          <w:bCs/>
          <w:i/>
        </w:rPr>
        <w:t>,</w:t>
      </w:r>
      <w:r w:rsidR="008F5F13">
        <w:rPr>
          <w:bCs/>
          <w:i/>
        </w:rPr>
        <w:t xml:space="preserve"> </w:t>
      </w:r>
      <w:r w:rsidR="002E1B0B">
        <w:rPr>
          <w:bCs/>
          <w:i/>
        </w:rPr>
        <w:t>“</w:t>
      </w:r>
      <w:r w:rsidR="008F5F13">
        <w:rPr>
          <w:bCs/>
          <w:i/>
        </w:rPr>
        <w:t>little dogs</w:t>
      </w:r>
      <w:r w:rsidR="00A54CB4">
        <w:rPr>
          <w:bCs/>
          <w:i/>
        </w:rPr>
        <w:t>”</w:t>
      </w:r>
      <w:r w:rsidR="008F5F13">
        <w:rPr>
          <w:bCs/>
          <w:i/>
        </w:rPr>
        <w:t>,</w:t>
      </w:r>
      <w:r w:rsidR="00830017">
        <w:rPr>
          <w:bCs/>
          <w:i/>
        </w:rPr>
        <w:t xml:space="preserve"> </w:t>
      </w:r>
      <w:r w:rsidR="002E1B0B">
        <w:rPr>
          <w:bCs/>
          <w:i/>
        </w:rPr>
        <w:t>“</w:t>
      </w:r>
      <w:proofErr w:type="spellStart"/>
      <w:r w:rsidR="00830017">
        <w:rPr>
          <w:bCs/>
          <w:i/>
        </w:rPr>
        <w:t>liboş</w:t>
      </w:r>
      <w:proofErr w:type="spellEnd"/>
      <w:r w:rsidR="00A54CB4">
        <w:rPr>
          <w:bCs/>
          <w:i/>
        </w:rPr>
        <w:t>”</w:t>
      </w:r>
      <w:r w:rsidR="00830017">
        <w:rPr>
          <w:bCs/>
          <w:i/>
        </w:rPr>
        <w:t xml:space="preserve"> </w:t>
      </w:r>
      <w:r w:rsidR="00830017" w:rsidRPr="005D0B59">
        <w:rPr>
          <w:bCs/>
        </w:rPr>
        <w:t>(term pejoratively used in Turkey to designate liberals)</w:t>
      </w:r>
      <w:r w:rsidR="00830017">
        <w:rPr>
          <w:bCs/>
          <w:i/>
        </w:rPr>
        <w:t xml:space="preserve">. </w:t>
      </w:r>
      <w:r w:rsidR="00830017">
        <w:rPr>
          <w:bCs/>
        </w:rPr>
        <w:t xml:space="preserve">One of the authors in </w:t>
      </w:r>
      <w:proofErr w:type="spellStart"/>
      <w:r w:rsidR="00830017">
        <w:rPr>
          <w:bCs/>
        </w:rPr>
        <w:t>Yeniçağ</w:t>
      </w:r>
      <w:proofErr w:type="spellEnd"/>
      <w:r w:rsidR="00830017">
        <w:rPr>
          <w:bCs/>
        </w:rPr>
        <w:t xml:space="preserve"> Newspaper wrote </w:t>
      </w:r>
      <w:r w:rsidR="008C66A6">
        <w:rPr>
          <w:bCs/>
        </w:rPr>
        <w:t xml:space="preserve">the following concerning </w:t>
      </w:r>
      <w:r w:rsidR="00830017">
        <w:rPr>
          <w:bCs/>
        </w:rPr>
        <w:t xml:space="preserve">the applicants: </w:t>
      </w:r>
      <w:r w:rsidR="00830017" w:rsidRPr="00830017">
        <w:rPr>
          <w:bCs/>
          <w:i/>
        </w:rPr>
        <w:t>“If these men were beaten</w:t>
      </w:r>
      <w:r w:rsidR="008C66A6">
        <w:rPr>
          <w:bCs/>
          <w:i/>
        </w:rPr>
        <w:t>,</w:t>
      </w:r>
      <w:r w:rsidR="00830017" w:rsidRPr="00830017">
        <w:rPr>
          <w:bCs/>
          <w:i/>
        </w:rPr>
        <w:t xml:space="preserve"> it would calm our nation. (They) deserve a slap,”</w:t>
      </w:r>
      <w:r w:rsidR="00830017" w:rsidRPr="00830017">
        <w:rPr>
          <w:bCs/>
        </w:rPr>
        <w:t xml:space="preserve"> </w:t>
      </w:r>
      <w:r w:rsidR="00830017">
        <w:rPr>
          <w:bCs/>
        </w:rPr>
        <w:t xml:space="preserve">and the </w:t>
      </w:r>
      <w:r w:rsidR="008C66A6">
        <w:rPr>
          <w:bCs/>
        </w:rPr>
        <w:t>Head of P</w:t>
      </w:r>
      <w:r w:rsidR="00830017" w:rsidRPr="00830017">
        <w:rPr>
          <w:bCs/>
        </w:rPr>
        <w:t>ubli</w:t>
      </w:r>
      <w:r w:rsidR="008C66A6">
        <w:rPr>
          <w:bCs/>
        </w:rPr>
        <w:t>c W</w:t>
      </w:r>
      <w:r w:rsidR="00830017">
        <w:rPr>
          <w:bCs/>
        </w:rPr>
        <w:t>orkers’ trade</w:t>
      </w:r>
      <w:r w:rsidR="008C66A6">
        <w:rPr>
          <w:bCs/>
        </w:rPr>
        <w:t xml:space="preserve"> U</w:t>
      </w:r>
      <w:r w:rsidR="00830017">
        <w:rPr>
          <w:bCs/>
        </w:rPr>
        <w:t xml:space="preserve">nion </w:t>
      </w:r>
      <w:proofErr w:type="spellStart"/>
      <w:r w:rsidR="00830017">
        <w:rPr>
          <w:bCs/>
        </w:rPr>
        <w:t>Kamu</w:t>
      </w:r>
      <w:proofErr w:type="spellEnd"/>
      <w:r w:rsidR="00830017">
        <w:rPr>
          <w:bCs/>
        </w:rPr>
        <w:t xml:space="preserve">-Sen </w:t>
      </w:r>
      <w:r w:rsidR="007371BC">
        <w:rPr>
          <w:bCs/>
        </w:rPr>
        <w:t>said,</w:t>
      </w:r>
      <w:r w:rsidR="00830017">
        <w:rPr>
          <w:bCs/>
        </w:rPr>
        <w:t xml:space="preserve"> </w:t>
      </w:r>
      <w:r w:rsidR="00830017" w:rsidRPr="00830017">
        <w:rPr>
          <w:bCs/>
          <w:i/>
        </w:rPr>
        <w:t>“The price for our land is bloo</w:t>
      </w:r>
      <w:r w:rsidR="008C66A6">
        <w:rPr>
          <w:bCs/>
          <w:i/>
        </w:rPr>
        <w:t>d. Sometimes it must be spilled</w:t>
      </w:r>
      <w:r w:rsidR="00830017" w:rsidRPr="00830017">
        <w:rPr>
          <w:bCs/>
          <w:i/>
        </w:rPr>
        <w:t>”</w:t>
      </w:r>
      <w:r w:rsidR="00830017">
        <w:rPr>
          <w:bCs/>
          <w:i/>
        </w:rPr>
        <w:t>.</w:t>
      </w:r>
    </w:p>
    <w:p w14:paraId="409706E7" w14:textId="77777777" w:rsidR="00BD2212" w:rsidRPr="00BD2212" w:rsidRDefault="00BD2212" w:rsidP="00777BD9">
      <w:pPr>
        <w:jc w:val="both"/>
        <w:rPr>
          <w:i/>
        </w:rPr>
      </w:pPr>
    </w:p>
    <w:p w14:paraId="7CF0A6E1" w14:textId="096D3C1B" w:rsidR="004D0FBA" w:rsidRDefault="001F5602" w:rsidP="00777BD9">
      <w:pPr>
        <w:jc w:val="both"/>
      </w:pPr>
      <w:r>
        <w:t xml:space="preserve">Professor </w:t>
      </w:r>
      <w:proofErr w:type="spellStart"/>
      <w:r>
        <w:t>Kaboglu</w:t>
      </w:r>
      <w:proofErr w:type="spellEnd"/>
      <w:r>
        <w:t xml:space="preserve"> and Oran filed four </w:t>
      </w:r>
      <w:r w:rsidR="00FB2147">
        <w:t>actions</w:t>
      </w:r>
      <w:r>
        <w:t xml:space="preserve"> for damages against the authors of the articles and proprietors of the newspapers in question, alleging that the impugned articles contained insults, threats and hate speech against them. </w:t>
      </w:r>
      <w:r w:rsidR="00FB2147">
        <w:t xml:space="preserve">Three of the actions were rejected by the courts and in one of the </w:t>
      </w:r>
      <w:r w:rsidR="00B61445">
        <w:t>cases,</w:t>
      </w:r>
      <w:r w:rsidR="00FB2147">
        <w:t xml:space="preserve"> the decision of the High Court of Ankara in favor of the applicants was</w:t>
      </w:r>
      <w:r w:rsidR="00B61445">
        <w:t xml:space="preserve"> eventually reversed by the Court of Cassation who concluded that the articles in question constituted a</w:t>
      </w:r>
      <w:r w:rsidR="008C66A6">
        <w:t xml:space="preserve"> harsh and virulent criticism on the applicants’ attitude and </w:t>
      </w:r>
      <w:r w:rsidR="00B61445">
        <w:t xml:space="preserve">of their report, without </w:t>
      </w:r>
      <w:r w:rsidR="008C66A6" w:rsidRPr="00B61445">
        <w:t>gratuitously</w:t>
      </w:r>
      <w:r w:rsidR="008C66A6">
        <w:t xml:space="preserve"> </w:t>
      </w:r>
      <w:r w:rsidR="00B61445">
        <w:t xml:space="preserve">attacking </w:t>
      </w:r>
      <w:r w:rsidR="008C66A6">
        <w:t>them</w:t>
      </w:r>
      <w:r w:rsidR="00B61445">
        <w:t>. Thereafter</w:t>
      </w:r>
      <w:r w:rsidR="008C66A6">
        <w:t>, the</w:t>
      </w:r>
      <w:r w:rsidR="00B61445">
        <w:t xml:space="preserve"> applicants addressed to the Court, alleging that their right to respect</w:t>
      </w:r>
      <w:r w:rsidR="008C66A6">
        <w:t xml:space="preserve"> for private life and right to freedom of expression were violated.</w:t>
      </w:r>
    </w:p>
    <w:p w14:paraId="373EF336" w14:textId="77777777" w:rsidR="00B61445" w:rsidRDefault="00B61445" w:rsidP="00777BD9">
      <w:pPr>
        <w:jc w:val="both"/>
      </w:pPr>
    </w:p>
    <w:p w14:paraId="050520A2" w14:textId="77777777" w:rsidR="002C7A44" w:rsidRPr="00AA68FF" w:rsidRDefault="00B61445" w:rsidP="00777BD9">
      <w:pPr>
        <w:jc w:val="both"/>
        <w:rPr>
          <w:b/>
        </w:rPr>
      </w:pPr>
      <w:r w:rsidRPr="00B61445">
        <w:rPr>
          <w:b/>
        </w:rPr>
        <w:t xml:space="preserve">3. </w:t>
      </w:r>
      <w:r w:rsidR="002C7A44" w:rsidRPr="00AA68FF">
        <w:rPr>
          <w:b/>
        </w:rPr>
        <w:t>Decision Overview</w:t>
      </w:r>
    </w:p>
    <w:p w14:paraId="30C19B4D" w14:textId="77777777" w:rsidR="00B61445" w:rsidRDefault="00B61445" w:rsidP="00777BD9">
      <w:pPr>
        <w:jc w:val="both"/>
        <w:rPr>
          <w:b/>
        </w:rPr>
      </w:pPr>
    </w:p>
    <w:p w14:paraId="0E6FB882" w14:textId="77777777" w:rsidR="002C7A44" w:rsidRDefault="002C7A44" w:rsidP="00777BD9">
      <w:pPr>
        <w:jc w:val="both"/>
        <w:rPr>
          <w:b/>
        </w:rPr>
      </w:pPr>
    </w:p>
    <w:p w14:paraId="6F061D67" w14:textId="38C84266" w:rsidR="002C7A44" w:rsidRDefault="002C7A44" w:rsidP="00777BD9">
      <w:pPr>
        <w:jc w:val="both"/>
      </w:pPr>
      <w:r>
        <w:t xml:space="preserve">The applicants alleged before the Court that </w:t>
      </w:r>
      <w:r w:rsidR="008C66A6">
        <w:t xml:space="preserve">the </w:t>
      </w:r>
      <w:r>
        <w:t>public authorities did not take all necessary measures to protect them from the insults and threats of ultranationalist authors</w:t>
      </w:r>
      <w:r w:rsidRPr="002C7A44">
        <w:t xml:space="preserve"> </w:t>
      </w:r>
      <w:r>
        <w:t xml:space="preserve">who were encouraged, according to them, by critical statements of politicians and civil servants. </w:t>
      </w:r>
      <w:r w:rsidR="00D71E67">
        <w:t xml:space="preserve">Contenting </w:t>
      </w:r>
      <w:r>
        <w:t>that the articles in q</w:t>
      </w:r>
      <w:r w:rsidR="00D71E67">
        <w:t>uestion did not simply express</w:t>
      </w:r>
      <w:r>
        <w:t xml:space="preserve"> critical opinions but contained severe insul</w:t>
      </w:r>
      <w:r w:rsidR="008C66A6">
        <w:t>ts and threats,</w:t>
      </w:r>
      <w:r w:rsidR="00C07317">
        <w:t xml:space="preserve"> </w:t>
      </w:r>
      <w:r w:rsidR="00D71E67">
        <w:t xml:space="preserve">the applicants argued that </w:t>
      </w:r>
      <w:r w:rsidR="00C07317">
        <w:t xml:space="preserve">they could not be considered </w:t>
      </w:r>
      <w:r w:rsidR="00661657">
        <w:t xml:space="preserve">within the scope </w:t>
      </w:r>
      <w:r w:rsidR="00C07317">
        <w:t xml:space="preserve">of freedom of expression. The Government defended that </w:t>
      </w:r>
      <w:r w:rsidR="008C66A6">
        <w:t>as</w:t>
      </w:r>
      <w:r w:rsidR="00C07317">
        <w:t xml:space="preserve"> </w:t>
      </w:r>
      <w:r w:rsidR="008C66A6">
        <w:t>being</w:t>
      </w:r>
      <w:r w:rsidR="00C07317">
        <w:t xml:space="preserve"> members of an official entity, the applicants must have been more opened to criticism and </w:t>
      </w:r>
      <w:r w:rsidR="008C66A6">
        <w:t xml:space="preserve">it </w:t>
      </w:r>
      <w:r w:rsidR="00C07317">
        <w:t xml:space="preserve">argued that the critics expressed by the authors did not address them </w:t>
      </w:r>
      <w:r w:rsidR="00C07317" w:rsidRPr="00C07317">
        <w:rPr>
          <w:i/>
        </w:rPr>
        <w:t xml:space="preserve">per se </w:t>
      </w:r>
      <w:r w:rsidR="00C07317">
        <w:t xml:space="preserve">but </w:t>
      </w:r>
      <w:r w:rsidR="00661657">
        <w:t>rather</w:t>
      </w:r>
      <w:r w:rsidR="008C66A6">
        <w:t xml:space="preserve"> their position within the Advisory C</w:t>
      </w:r>
      <w:r w:rsidR="00C07317">
        <w:t>ouncil. According</w:t>
      </w:r>
      <w:r w:rsidR="00661657">
        <w:t xml:space="preserve"> to the G</w:t>
      </w:r>
      <w:r w:rsidR="00C07317">
        <w:t>overnment, since the content of the report attracted public attention, the articles in question contrib</w:t>
      </w:r>
      <w:r w:rsidR="008C66A6">
        <w:t>uted to the public debate on</w:t>
      </w:r>
      <w:r w:rsidR="00C07317">
        <w:t xml:space="preserve"> </w:t>
      </w:r>
      <w:r w:rsidR="00661657">
        <w:t xml:space="preserve">highly debated </w:t>
      </w:r>
      <w:r w:rsidR="00C07317">
        <w:t xml:space="preserve">issues </w:t>
      </w:r>
      <w:r w:rsidR="00661657">
        <w:t xml:space="preserve">such as citizenship, identity, mother tongue, and equality. [para. 61] the Government further submitted that criticism brought by the authors </w:t>
      </w:r>
      <w:r w:rsidR="0094637B">
        <w:t>amounted to a</w:t>
      </w:r>
      <w:r w:rsidR="00661657">
        <w:t xml:space="preserve"> value judgment and that it was no</w:t>
      </w:r>
      <w:r w:rsidR="008C66A6">
        <w:t xml:space="preserve">t without </w:t>
      </w:r>
      <w:r w:rsidR="0094637B">
        <w:t>a</w:t>
      </w:r>
      <w:r w:rsidR="00661657">
        <w:t xml:space="preserve"> factual basis. </w:t>
      </w:r>
      <w:r w:rsidR="0094637B">
        <w:t xml:space="preserve">The factual basis of critical opinions advanced by the articles was, for the Government, </w:t>
      </w:r>
      <w:r w:rsidR="0094637B" w:rsidRPr="0094637B">
        <w:t xml:space="preserve">the proposals </w:t>
      </w:r>
      <w:r w:rsidR="00D71E67">
        <w:t xml:space="preserve">of </w:t>
      </w:r>
      <w:r w:rsidR="0094637B" w:rsidRPr="0094637B">
        <w:t>the report concerning the status of minorities, the definition o</w:t>
      </w:r>
      <w:r w:rsidR="008C66A6">
        <w:t xml:space="preserve">f </w:t>
      </w:r>
      <w:r w:rsidR="008C66A6">
        <w:lastRenderedPageBreak/>
        <w:t>citizenship, notions of supra/</w:t>
      </w:r>
      <w:r w:rsidR="0094637B" w:rsidRPr="0094637B">
        <w:t>infra-identity and the question of the official language of the state</w:t>
      </w:r>
      <w:r w:rsidR="0094637B">
        <w:t>. [para. 62].</w:t>
      </w:r>
    </w:p>
    <w:p w14:paraId="58A2F1E0" w14:textId="77777777" w:rsidR="0094637B" w:rsidRDefault="0094637B" w:rsidP="00777BD9">
      <w:pPr>
        <w:jc w:val="both"/>
      </w:pPr>
    </w:p>
    <w:p w14:paraId="7E260925" w14:textId="1BA0558D" w:rsidR="00777BD9" w:rsidRDefault="0094637B" w:rsidP="00777BD9">
      <w:pPr>
        <w:jc w:val="both"/>
        <w:rPr>
          <w:rFonts w:eastAsia="Times New Roman" w:cs="Times New Roman"/>
        </w:rPr>
      </w:pPr>
      <w:r>
        <w:t xml:space="preserve">The Court began by recalling that the </w:t>
      </w:r>
      <w:r w:rsidR="00777BD9">
        <w:t>concept</w:t>
      </w:r>
      <w:r>
        <w:t xml:space="preserve"> of private life </w:t>
      </w:r>
      <w:r w:rsidR="008C66A6">
        <w:t>was</w:t>
      </w:r>
      <w:r w:rsidR="00777BD9">
        <w:t xml:space="preserve"> a broad term </w:t>
      </w:r>
      <w:r w:rsidR="008C66A6">
        <w:rPr>
          <w:rFonts w:eastAsia="Times New Roman" w:cs="Times New Roman"/>
        </w:rPr>
        <w:t>which covered</w:t>
      </w:r>
      <w:r w:rsidR="00777BD9">
        <w:rPr>
          <w:rFonts w:eastAsia="Times New Roman" w:cs="Times New Roman"/>
        </w:rPr>
        <w:t xml:space="preserve"> </w:t>
      </w:r>
      <w:r w:rsidR="00777BD9" w:rsidRPr="00777BD9">
        <w:rPr>
          <w:rFonts w:eastAsia="Times New Roman" w:cs="Times New Roman"/>
        </w:rPr>
        <w:t>aspects relating to personal identity, such as</w:t>
      </w:r>
      <w:r w:rsidR="00777BD9">
        <w:rPr>
          <w:rFonts w:eastAsia="Times New Roman" w:cs="Times New Roman"/>
        </w:rPr>
        <w:t xml:space="preserve"> a person’s name, a person’s picture, </w:t>
      </w:r>
      <w:r w:rsidR="00777BD9" w:rsidRPr="00777BD9">
        <w:rPr>
          <w:rFonts w:eastAsia="Times New Roman" w:cs="Times New Roman"/>
        </w:rPr>
        <w:t>a person’s physical and psychological integrity</w:t>
      </w:r>
      <w:r w:rsidR="00777BD9">
        <w:rPr>
          <w:rFonts w:eastAsia="Times New Roman" w:cs="Times New Roman"/>
        </w:rPr>
        <w:t xml:space="preserve">. In this sense, a person’s reputation also makes a part of his/her personal identity and his/her moral integrity even tough this person </w:t>
      </w:r>
      <w:r w:rsidR="00D71E67">
        <w:rPr>
          <w:rFonts w:eastAsia="Times New Roman" w:cs="Times New Roman"/>
        </w:rPr>
        <w:t>becomes</w:t>
      </w:r>
      <w:r w:rsidR="002C366E">
        <w:rPr>
          <w:rFonts w:eastAsia="Times New Roman" w:cs="Times New Roman"/>
        </w:rPr>
        <w:t xml:space="preserve"> subject </w:t>
      </w:r>
      <w:r w:rsidR="00D71E67">
        <w:rPr>
          <w:rFonts w:eastAsia="Times New Roman" w:cs="Times New Roman"/>
        </w:rPr>
        <w:t>to</w:t>
      </w:r>
      <w:r w:rsidR="002C366E">
        <w:rPr>
          <w:rFonts w:eastAsia="Times New Roman" w:cs="Times New Roman"/>
        </w:rPr>
        <w:t xml:space="preserve"> criticism as part of</w:t>
      </w:r>
      <w:r w:rsidR="00777BD9">
        <w:rPr>
          <w:rFonts w:eastAsia="Times New Roman" w:cs="Times New Roman"/>
        </w:rPr>
        <w:t xml:space="preserve"> a public debate. However, according to the Court, i</w:t>
      </w:r>
      <w:r w:rsidR="00777BD9" w:rsidRPr="00777BD9">
        <w:rPr>
          <w:rFonts w:eastAsia="Times New Roman" w:cs="Times New Roman"/>
        </w:rPr>
        <w:t>n order for Article 8 to come into play, an attack on a person’s reputation must attain a certain level of seriousness and in a manner causing prejudice to personal enjoyment of the right to respect for private life</w:t>
      </w:r>
      <w:r w:rsidR="00777BD9">
        <w:rPr>
          <w:rFonts w:eastAsia="Times New Roman" w:cs="Times New Roman"/>
        </w:rPr>
        <w:t>. [para. 65].</w:t>
      </w:r>
    </w:p>
    <w:p w14:paraId="1439CA6D" w14:textId="77777777" w:rsidR="00777BD9" w:rsidRDefault="00777BD9" w:rsidP="00777BD9">
      <w:pPr>
        <w:jc w:val="both"/>
        <w:rPr>
          <w:rFonts w:eastAsia="Times New Roman" w:cs="Times New Roman"/>
        </w:rPr>
      </w:pPr>
    </w:p>
    <w:p w14:paraId="0817865A" w14:textId="45170CD3" w:rsidR="008D44A4" w:rsidRDefault="00DD20C3" w:rsidP="008D44A4">
      <w:pPr>
        <w:jc w:val="both"/>
        <w:rPr>
          <w:rFonts w:eastAsia="Times New Roman" w:cs="Times New Roman"/>
        </w:rPr>
      </w:pPr>
      <w:r>
        <w:rPr>
          <w:rFonts w:eastAsia="Times New Roman" w:cs="Times New Roman"/>
        </w:rPr>
        <w:t>Reiterating the fundamental role of the press in a democrat</w:t>
      </w:r>
      <w:r w:rsidR="00D71E67">
        <w:rPr>
          <w:rFonts w:eastAsia="Times New Roman" w:cs="Times New Roman"/>
        </w:rPr>
        <w:t>ic society and its function of disseminating</w:t>
      </w:r>
      <w:r>
        <w:rPr>
          <w:rFonts w:eastAsia="Times New Roman" w:cs="Times New Roman"/>
        </w:rPr>
        <w:t xml:space="preserve"> information and ideas on any subject of public interest, the Court however </w:t>
      </w:r>
      <w:r w:rsidR="00FC5DB5">
        <w:rPr>
          <w:rFonts w:eastAsia="Times New Roman" w:cs="Times New Roman"/>
        </w:rPr>
        <w:t xml:space="preserve">emphasized the responsibility of the </w:t>
      </w:r>
      <w:r>
        <w:rPr>
          <w:rFonts w:eastAsia="Times New Roman" w:cs="Times New Roman"/>
        </w:rPr>
        <w:t xml:space="preserve">journalists </w:t>
      </w:r>
      <w:r w:rsidR="00FC5DB5">
        <w:rPr>
          <w:rFonts w:eastAsia="Times New Roman" w:cs="Times New Roman"/>
        </w:rPr>
        <w:t>to</w:t>
      </w:r>
      <w:r w:rsidRPr="00DD20C3">
        <w:rPr>
          <w:rFonts w:eastAsia="Times New Roman" w:cs="Times New Roman"/>
        </w:rPr>
        <w:t xml:space="preserve"> act in good faith, on the basis of accurate facts, and provide "reliable and accurate" information in accordance with journalistic ethics.</w:t>
      </w:r>
      <w:r>
        <w:rPr>
          <w:rFonts w:eastAsia="Times New Roman" w:cs="Times New Roman"/>
        </w:rPr>
        <w:t xml:space="preserve"> [para. 66]</w:t>
      </w:r>
      <w:r w:rsidR="00FC5DB5">
        <w:rPr>
          <w:rFonts w:eastAsia="Times New Roman" w:cs="Times New Roman"/>
        </w:rPr>
        <w:t xml:space="preserve"> The </w:t>
      </w:r>
      <w:r w:rsidR="00F00D08">
        <w:rPr>
          <w:rFonts w:eastAsia="Times New Roman" w:cs="Times New Roman"/>
        </w:rPr>
        <w:t>Court also noted that when it was</w:t>
      </w:r>
      <w:r w:rsidR="00FC5DB5">
        <w:rPr>
          <w:rFonts w:eastAsia="Times New Roman" w:cs="Times New Roman"/>
        </w:rPr>
        <w:t xml:space="preserve"> required </w:t>
      </w:r>
      <w:r w:rsidR="00D71E67">
        <w:rPr>
          <w:rFonts w:eastAsia="Times New Roman" w:cs="Times New Roman"/>
        </w:rPr>
        <w:t>to rule on</w:t>
      </w:r>
      <w:r w:rsidR="00FC5DB5">
        <w:rPr>
          <w:rFonts w:eastAsia="Times New Roman" w:cs="Times New Roman"/>
        </w:rPr>
        <w:t xml:space="preserve"> a conflict between two rights equally guaranteed by the Convention, it mu</w:t>
      </w:r>
      <w:r w:rsidR="008D44A4">
        <w:rPr>
          <w:rFonts w:eastAsia="Times New Roman" w:cs="Times New Roman"/>
        </w:rPr>
        <w:t xml:space="preserve">st strike a balance between </w:t>
      </w:r>
      <w:r w:rsidR="00FC5DB5">
        <w:rPr>
          <w:rFonts w:eastAsia="Times New Roman" w:cs="Times New Roman"/>
        </w:rPr>
        <w:t xml:space="preserve">different interests in question. In this sense, the right to respect to private life and the right to freedom of expression deserve </w:t>
      </w:r>
      <w:r w:rsidR="00FC5DB5" w:rsidRPr="00FC5DB5">
        <w:rPr>
          <w:rFonts w:eastAsia="Times New Roman" w:cs="Times New Roman"/>
          <w:i/>
        </w:rPr>
        <w:t>a priori</w:t>
      </w:r>
      <w:r w:rsidR="00FC5DB5">
        <w:rPr>
          <w:rFonts w:eastAsia="Times New Roman" w:cs="Times New Roman"/>
        </w:rPr>
        <w:t xml:space="preserve"> equal respect. [para. 69] </w:t>
      </w:r>
      <w:r w:rsidR="008D44A4">
        <w:rPr>
          <w:rFonts w:eastAsia="Times New Roman" w:cs="Times New Roman"/>
        </w:rPr>
        <w:t xml:space="preserve">The Court finally noted that in the present case, the applicants were allegedly subject to </w:t>
      </w:r>
      <w:r w:rsidR="00F00D08">
        <w:rPr>
          <w:rFonts w:eastAsia="Times New Roman" w:cs="Times New Roman"/>
        </w:rPr>
        <w:t>attacks</w:t>
      </w:r>
      <w:r w:rsidR="008D44A4">
        <w:rPr>
          <w:rFonts w:eastAsia="Times New Roman" w:cs="Times New Roman"/>
        </w:rPr>
        <w:t xml:space="preserve"> on their right to respect </w:t>
      </w:r>
      <w:r w:rsidR="00CB2390">
        <w:rPr>
          <w:rFonts w:eastAsia="Times New Roman" w:cs="Times New Roman"/>
        </w:rPr>
        <w:t xml:space="preserve">for </w:t>
      </w:r>
      <w:r w:rsidR="008D44A4">
        <w:rPr>
          <w:rFonts w:eastAsia="Times New Roman" w:cs="Times New Roman"/>
        </w:rPr>
        <w:t>private life due to the exercise of their freedom of expression. In this respect</w:t>
      </w:r>
      <w:r w:rsidR="00D71E67">
        <w:rPr>
          <w:rFonts w:eastAsia="Times New Roman" w:cs="Times New Roman"/>
        </w:rPr>
        <w:t>,</w:t>
      </w:r>
      <w:r w:rsidR="008D44A4">
        <w:rPr>
          <w:rFonts w:eastAsia="Times New Roman" w:cs="Times New Roman"/>
        </w:rPr>
        <w:t xml:space="preserve"> the Court recalled that </w:t>
      </w:r>
      <w:r w:rsidR="008D44A4" w:rsidRPr="008D44A4">
        <w:rPr>
          <w:rFonts w:eastAsia="Times New Roman" w:cs="Times New Roman"/>
        </w:rPr>
        <w:t>effective exercise of th</w:t>
      </w:r>
      <w:r w:rsidR="008D44A4">
        <w:rPr>
          <w:rFonts w:eastAsia="Times New Roman" w:cs="Times New Roman"/>
        </w:rPr>
        <w:t>is freedom did</w:t>
      </w:r>
      <w:r w:rsidR="008D44A4" w:rsidRPr="008D44A4">
        <w:rPr>
          <w:rFonts w:eastAsia="Times New Roman" w:cs="Times New Roman"/>
        </w:rPr>
        <w:t xml:space="preserve"> not depend merely on the State’s duty not to interfere, but may require positive measures of protection, even in the sphere of relations between individuals. </w:t>
      </w:r>
      <w:r w:rsidR="008D44A4">
        <w:rPr>
          <w:rFonts w:eastAsia="Times New Roman" w:cs="Times New Roman"/>
        </w:rPr>
        <w:t>In fact</w:t>
      </w:r>
      <w:r w:rsidR="00F00D08">
        <w:rPr>
          <w:rFonts w:eastAsia="Times New Roman" w:cs="Times New Roman"/>
        </w:rPr>
        <w:t>,</w:t>
      </w:r>
      <w:r w:rsidR="008D44A4">
        <w:rPr>
          <w:rFonts w:eastAsia="Times New Roman" w:cs="Times New Roman"/>
        </w:rPr>
        <w:t xml:space="preserve"> </w:t>
      </w:r>
      <w:r w:rsidR="00F00D08">
        <w:rPr>
          <w:rFonts w:eastAsia="Times New Roman" w:cs="Times New Roman"/>
        </w:rPr>
        <w:t>the State is under a positive obligation to protect the right to freedom of expression, even against the attacks of private persons.  [para. 71]</w:t>
      </w:r>
    </w:p>
    <w:p w14:paraId="0989DA81" w14:textId="77777777" w:rsidR="00F00D08" w:rsidRDefault="00F00D08" w:rsidP="008D44A4">
      <w:pPr>
        <w:jc w:val="both"/>
        <w:rPr>
          <w:rFonts w:eastAsia="Times New Roman" w:cs="Times New Roman"/>
        </w:rPr>
      </w:pPr>
    </w:p>
    <w:p w14:paraId="089035FF" w14:textId="0C16ED0C" w:rsidR="00F00D08" w:rsidRPr="008D44A4" w:rsidRDefault="002C366E" w:rsidP="008D44A4">
      <w:pPr>
        <w:jc w:val="both"/>
        <w:rPr>
          <w:rFonts w:eastAsia="Times New Roman" w:cs="Times New Roman"/>
        </w:rPr>
      </w:pPr>
      <w:r>
        <w:rPr>
          <w:rFonts w:eastAsia="Times New Roman" w:cs="Times New Roman"/>
        </w:rPr>
        <w:t>As to the instant case, the Court first recognized that</w:t>
      </w:r>
      <w:r w:rsidR="00D71E67">
        <w:rPr>
          <w:rFonts w:eastAsia="Times New Roman" w:cs="Times New Roman"/>
        </w:rPr>
        <w:t>,</w:t>
      </w:r>
      <w:r>
        <w:rPr>
          <w:rFonts w:eastAsia="Times New Roman" w:cs="Times New Roman"/>
        </w:rPr>
        <w:t xml:space="preserve"> taking into consideration the virulent criticism faced by the applicants, the attack on their reputation a</w:t>
      </w:r>
      <w:r w:rsidRPr="00777BD9">
        <w:rPr>
          <w:rFonts w:eastAsia="Times New Roman" w:cs="Times New Roman"/>
        </w:rPr>
        <w:t>ttain</w:t>
      </w:r>
      <w:r>
        <w:rPr>
          <w:rFonts w:eastAsia="Times New Roman" w:cs="Times New Roman"/>
        </w:rPr>
        <w:t>ed the</w:t>
      </w:r>
      <w:r w:rsidRPr="00777BD9">
        <w:rPr>
          <w:rFonts w:eastAsia="Times New Roman" w:cs="Times New Roman"/>
        </w:rPr>
        <w:t xml:space="preserve"> level of seriousness</w:t>
      </w:r>
      <w:r>
        <w:rPr>
          <w:rFonts w:eastAsia="Times New Roman" w:cs="Times New Roman"/>
        </w:rPr>
        <w:t xml:space="preserve"> required for the application of Article 8 of the Convention. [para. 72] The Court further examined whether the national </w:t>
      </w:r>
      <w:r w:rsidR="00CB2390">
        <w:rPr>
          <w:rFonts w:eastAsia="Times New Roman" w:cs="Times New Roman"/>
        </w:rPr>
        <w:t>courts</w:t>
      </w:r>
      <w:r>
        <w:rPr>
          <w:rFonts w:eastAsia="Times New Roman" w:cs="Times New Roman"/>
        </w:rPr>
        <w:t xml:space="preserve"> failed or not to protect the applicants against the alleged attacks. </w:t>
      </w:r>
    </w:p>
    <w:p w14:paraId="1F7434C8" w14:textId="77777777" w:rsidR="008D44A4" w:rsidRPr="008D44A4" w:rsidRDefault="008D44A4" w:rsidP="008D44A4">
      <w:pPr>
        <w:jc w:val="both"/>
        <w:rPr>
          <w:rFonts w:eastAsia="Times New Roman" w:cs="Times New Roman"/>
        </w:rPr>
      </w:pPr>
    </w:p>
    <w:p w14:paraId="48199886" w14:textId="670A5FC3" w:rsidR="00777BD9" w:rsidRPr="00777BD9" w:rsidRDefault="00CB2390" w:rsidP="00254A7B">
      <w:pPr>
        <w:jc w:val="both"/>
        <w:rPr>
          <w:rFonts w:eastAsia="Times New Roman" w:cs="Times New Roman"/>
        </w:rPr>
      </w:pPr>
      <w:r>
        <w:rPr>
          <w:rFonts w:eastAsia="Times New Roman" w:cs="Times New Roman"/>
        </w:rPr>
        <w:t>Recognizing</w:t>
      </w:r>
      <w:r w:rsidR="00EA0B9E">
        <w:rPr>
          <w:rFonts w:eastAsia="Times New Roman" w:cs="Times New Roman"/>
        </w:rPr>
        <w:t xml:space="preserve"> that the</w:t>
      </w:r>
      <w:r>
        <w:rPr>
          <w:rFonts w:eastAsia="Times New Roman" w:cs="Times New Roman"/>
        </w:rPr>
        <w:t xml:space="preserve"> impugned</w:t>
      </w:r>
      <w:r w:rsidR="00426E4A">
        <w:rPr>
          <w:rFonts w:eastAsia="Times New Roman" w:cs="Times New Roman"/>
        </w:rPr>
        <w:t xml:space="preserve"> </w:t>
      </w:r>
      <w:r w:rsidR="00D71E67">
        <w:rPr>
          <w:rFonts w:eastAsia="Times New Roman" w:cs="Times New Roman"/>
        </w:rPr>
        <w:t>articles were undeniably</w:t>
      </w:r>
      <w:r w:rsidR="00EA0B9E">
        <w:rPr>
          <w:rFonts w:eastAsia="Times New Roman" w:cs="Times New Roman"/>
        </w:rPr>
        <w:t xml:space="preserve"> part of the</w:t>
      </w:r>
      <w:r w:rsidR="00426E4A">
        <w:rPr>
          <w:rFonts w:eastAsia="Times New Roman" w:cs="Times New Roman"/>
        </w:rPr>
        <w:t xml:space="preserve"> </w:t>
      </w:r>
      <w:r w:rsidR="00EA0B9E">
        <w:rPr>
          <w:rFonts w:eastAsia="Times New Roman" w:cs="Times New Roman"/>
        </w:rPr>
        <w:t xml:space="preserve">public debate triggered by the report on </w:t>
      </w:r>
      <w:r w:rsidR="00D71E67">
        <w:rPr>
          <w:rFonts w:eastAsia="Times New Roman" w:cs="Times New Roman"/>
        </w:rPr>
        <w:t>the position</w:t>
      </w:r>
      <w:r w:rsidR="00EA0B9E">
        <w:rPr>
          <w:rFonts w:eastAsia="Times New Roman" w:cs="Times New Roman"/>
        </w:rPr>
        <w:t xml:space="preserve"> and rights of minorities in the organization of the society, the Court recalled that in the context of a public debate</w:t>
      </w:r>
      <w:r w:rsidR="00426E4A">
        <w:rPr>
          <w:rFonts w:eastAsia="Times New Roman" w:cs="Times New Roman"/>
        </w:rPr>
        <w:t>,</w:t>
      </w:r>
      <w:r w:rsidR="00EA0B9E">
        <w:rPr>
          <w:rFonts w:eastAsia="Times New Roman" w:cs="Times New Roman"/>
        </w:rPr>
        <w:t xml:space="preserve"> journalists could resort to a certain degree of exaggeration and even </w:t>
      </w:r>
      <w:r w:rsidR="00D71E67">
        <w:rPr>
          <w:rFonts w:eastAsia="Times New Roman" w:cs="Times New Roman"/>
        </w:rPr>
        <w:t xml:space="preserve">to </w:t>
      </w:r>
      <w:r w:rsidR="00EA0B9E">
        <w:rPr>
          <w:rFonts w:eastAsia="Times New Roman" w:cs="Times New Roman"/>
        </w:rPr>
        <w:t xml:space="preserve">provocation </w:t>
      </w:r>
      <w:r w:rsidR="00D71E67">
        <w:rPr>
          <w:rFonts w:eastAsia="Times New Roman" w:cs="Times New Roman"/>
        </w:rPr>
        <w:t>while r</w:t>
      </w:r>
      <w:r w:rsidR="00EA0B9E">
        <w:rPr>
          <w:rFonts w:eastAsia="Times New Roman" w:cs="Times New Roman"/>
        </w:rPr>
        <w:t>espect</w:t>
      </w:r>
      <w:r w:rsidR="00D71E67">
        <w:rPr>
          <w:rFonts w:eastAsia="Times New Roman" w:cs="Times New Roman"/>
        </w:rPr>
        <w:t xml:space="preserve">ing </w:t>
      </w:r>
      <w:r w:rsidR="00EA0B9E">
        <w:rPr>
          <w:rFonts w:eastAsia="Times New Roman" w:cs="Times New Roman"/>
        </w:rPr>
        <w:t>certain limits, notably reputation and rights of other</w:t>
      </w:r>
      <w:r w:rsidR="00426E4A">
        <w:rPr>
          <w:rFonts w:eastAsia="Times New Roman" w:cs="Times New Roman"/>
        </w:rPr>
        <w:t xml:space="preserve"> persons. [para. 79] The scathing terms emp</w:t>
      </w:r>
      <w:r w:rsidR="00DC0F86">
        <w:rPr>
          <w:rFonts w:eastAsia="Times New Roman" w:cs="Times New Roman"/>
        </w:rPr>
        <w:t xml:space="preserve">loyed in the articles </w:t>
      </w:r>
      <w:r w:rsidR="00D71E67">
        <w:rPr>
          <w:rFonts w:eastAsia="Times New Roman" w:cs="Times New Roman"/>
        </w:rPr>
        <w:t xml:space="preserve">clearly </w:t>
      </w:r>
      <w:r>
        <w:rPr>
          <w:rFonts w:eastAsia="Times New Roman" w:cs="Times New Roman"/>
        </w:rPr>
        <w:t>manifested</w:t>
      </w:r>
      <w:r w:rsidR="00426E4A">
        <w:rPr>
          <w:rFonts w:eastAsia="Times New Roman" w:cs="Times New Roman"/>
        </w:rPr>
        <w:t xml:space="preserve"> reaction and indignation of the authors against the report of </w:t>
      </w:r>
      <w:r w:rsidR="00D71E67">
        <w:rPr>
          <w:rFonts w:eastAsia="Times New Roman" w:cs="Times New Roman"/>
        </w:rPr>
        <w:t xml:space="preserve">the </w:t>
      </w:r>
      <w:r w:rsidR="00426E4A">
        <w:rPr>
          <w:rFonts w:eastAsia="Times New Roman" w:cs="Times New Roman"/>
        </w:rPr>
        <w:t>A</w:t>
      </w:r>
      <w:r w:rsidR="00DC0F86">
        <w:rPr>
          <w:rFonts w:eastAsia="Times New Roman" w:cs="Times New Roman"/>
        </w:rPr>
        <w:t>dvisory Council and aimed</w:t>
      </w:r>
      <w:r w:rsidR="00426E4A">
        <w:rPr>
          <w:rFonts w:eastAsia="Times New Roman" w:cs="Times New Roman"/>
        </w:rPr>
        <w:t xml:space="preserve"> to discredit t</w:t>
      </w:r>
      <w:r w:rsidR="00DC0F86">
        <w:rPr>
          <w:rFonts w:eastAsia="Times New Roman" w:cs="Times New Roman"/>
        </w:rPr>
        <w:t>he applicants in the public</w:t>
      </w:r>
      <w:r w:rsidR="00D71E67">
        <w:rPr>
          <w:rFonts w:eastAsia="Times New Roman" w:cs="Times New Roman"/>
        </w:rPr>
        <w:t xml:space="preserve"> eye.</w:t>
      </w:r>
      <w:r w:rsidR="00254A7B" w:rsidRPr="00254A7B">
        <w:rPr>
          <w:rFonts w:eastAsia="Times New Roman" w:cs="Times New Roman"/>
        </w:rPr>
        <w:t xml:space="preserve"> </w:t>
      </w:r>
      <w:r w:rsidR="00DC0F86">
        <w:rPr>
          <w:rFonts w:eastAsia="Times New Roman" w:cs="Times New Roman"/>
        </w:rPr>
        <w:t xml:space="preserve">Accordingly, </w:t>
      </w:r>
      <w:r w:rsidR="00D71E67">
        <w:rPr>
          <w:rFonts w:eastAsia="Times New Roman" w:cs="Times New Roman"/>
        </w:rPr>
        <w:t>t</w:t>
      </w:r>
      <w:r w:rsidR="00426E4A">
        <w:rPr>
          <w:rFonts w:eastAsia="Times New Roman" w:cs="Times New Roman"/>
        </w:rPr>
        <w:t>he Court considered</w:t>
      </w:r>
      <w:r w:rsidR="00DC0F86">
        <w:rPr>
          <w:rFonts w:eastAsia="Times New Roman" w:cs="Times New Roman"/>
        </w:rPr>
        <w:t xml:space="preserve"> that in the context of a heated debate on the report focusing on essential questions of Turkish society, the provocative, agitated and somewhat offensive style and content </w:t>
      </w:r>
      <w:r w:rsidR="00DC0F86">
        <w:rPr>
          <w:rFonts w:eastAsia="Times New Roman" w:cs="Times New Roman"/>
        </w:rPr>
        <w:lastRenderedPageBreak/>
        <w:t>of the articles could not considere</w:t>
      </w:r>
      <w:r w:rsidR="00605BBD">
        <w:rPr>
          <w:rFonts w:eastAsia="Times New Roman" w:cs="Times New Roman"/>
        </w:rPr>
        <w:t xml:space="preserve">d as being globally devoid of </w:t>
      </w:r>
      <w:r w:rsidR="00DC0F86">
        <w:rPr>
          <w:rFonts w:eastAsia="Times New Roman" w:cs="Times New Roman"/>
        </w:rPr>
        <w:t xml:space="preserve">sufficient factual basis and gratuitously insulting. [para. 81] </w:t>
      </w:r>
      <w:r w:rsidR="00254A7B" w:rsidRPr="00254A7B">
        <w:rPr>
          <w:rFonts w:eastAsia="Times New Roman" w:cs="Times New Roman"/>
        </w:rPr>
        <w:t xml:space="preserve">The statements and press articles </w:t>
      </w:r>
      <w:r w:rsidR="00254A7B">
        <w:rPr>
          <w:rFonts w:eastAsia="Times New Roman" w:cs="Times New Roman"/>
        </w:rPr>
        <w:t>criticizing the applicants</w:t>
      </w:r>
      <w:r w:rsidR="00254A7B" w:rsidRPr="00254A7B">
        <w:rPr>
          <w:rFonts w:eastAsia="Times New Roman" w:cs="Times New Roman"/>
        </w:rPr>
        <w:t xml:space="preserve"> fell within the context of a reactionary campaign waged by those circles against the report and its principal authors, the applicants.</w:t>
      </w:r>
      <w:r w:rsidR="00254A7B">
        <w:rPr>
          <w:rFonts w:eastAsia="Times New Roman" w:cs="Times New Roman"/>
        </w:rPr>
        <w:t xml:space="preserve"> </w:t>
      </w:r>
      <w:r w:rsidR="00D71E67">
        <w:rPr>
          <w:rFonts w:eastAsia="Times New Roman" w:cs="Times New Roman"/>
        </w:rPr>
        <w:t xml:space="preserve">The Court also </w:t>
      </w:r>
      <w:r w:rsidR="00A13F6E">
        <w:rPr>
          <w:rFonts w:eastAsia="Times New Roman" w:cs="Times New Roman"/>
        </w:rPr>
        <w:t>noted that t</w:t>
      </w:r>
      <w:r w:rsidR="00254A7B">
        <w:rPr>
          <w:rFonts w:eastAsia="Times New Roman" w:cs="Times New Roman"/>
        </w:rPr>
        <w:t xml:space="preserve">he applicants </w:t>
      </w:r>
      <w:r w:rsidR="00254A7B" w:rsidRPr="00254A7B">
        <w:rPr>
          <w:rFonts w:eastAsia="Times New Roman" w:cs="Times New Roman"/>
        </w:rPr>
        <w:t xml:space="preserve">had in fact exercised their freedom of expression through this report by </w:t>
      </w:r>
      <w:r w:rsidR="00254A7B">
        <w:rPr>
          <w:rFonts w:eastAsia="Times New Roman" w:cs="Times New Roman"/>
        </w:rPr>
        <w:t>declaring</w:t>
      </w:r>
      <w:r w:rsidR="00254A7B" w:rsidRPr="00254A7B">
        <w:rPr>
          <w:rFonts w:eastAsia="Times New Roman" w:cs="Times New Roman"/>
        </w:rPr>
        <w:t xml:space="preserve"> their </w:t>
      </w:r>
      <w:r w:rsidR="00254A7B">
        <w:rPr>
          <w:rFonts w:eastAsia="Times New Roman" w:cs="Times New Roman"/>
        </w:rPr>
        <w:t xml:space="preserve">point of </w:t>
      </w:r>
      <w:r w:rsidR="00254A7B" w:rsidRPr="00254A7B">
        <w:rPr>
          <w:rFonts w:eastAsia="Times New Roman" w:cs="Times New Roman"/>
        </w:rPr>
        <w:t xml:space="preserve">view on the status and position of minorities in a democratic society without, however, using </w:t>
      </w:r>
      <w:r w:rsidR="00254A7B">
        <w:rPr>
          <w:rFonts w:eastAsia="Times New Roman" w:cs="Times New Roman"/>
        </w:rPr>
        <w:t>a denigrating</w:t>
      </w:r>
      <w:r w:rsidR="00254A7B" w:rsidRPr="00254A7B">
        <w:rPr>
          <w:rFonts w:eastAsia="Times New Roman" w:cs="Times New Roman"/>
        </w:rPr>
        <w:t xml:space="preserve"> or insulting language against the advocates of a differe</w:t>
      </w:r>
      <w:r w:rsidR="00254A7B">
        <w:rPr>
          <w:rFonts w:eastAsia="Times New Roman" w:cs="Times New Roman"/>
        </w:rPr>
        <w:t>nt perspective on these matters.</w:t>
      </w:r>
      <w:r w:rsidR="00254A7B" w:rsidRPr="00254A7B">
        <w:rPr>
          <w:rFonts w:eastAsia="Times New Roman" w:cs="Times New Roman"/>
        </w:rPr>
        <w:t xml:space="preserve"> </w:t>
      </w:r>
      <w:r w:rsidR="00254A7B">
        <w:rPr>
          <w:rFonts w:eastAsia="Times New Roman" w:cs="Times New Roman"/>
        </w:rPr>
        <w:t xml:space="preserve">[para. 83] </w:t>
      </w:r>
    </w:p>
    <w:p w14:paraId="18FD2B8B" w14:textId="77777777" w:rsidR="0094637B" w:rsidRDefault="0094637B" w:rsidP="00777BD9">
      <w:pPr>
        <w:jc w:val="both"/>
      </w:pPr>
    </w:p>
    <w:p w14:paraId="437C2553" w14:textId="17BA5CCB" w:rsidR="00254A7B" w:rsidRDefault="00254A7B" w:rsidP="00777BD9">
      <w:pPr>
        <w:jc w:val="both"/>
      </w:pPr>
      <w:r>
        <w:t xml:space="preserve">As regards </w:t>
      </w:r>
      <w:r w:rsidR="00A13F6E">
        <w:t xml:space="preserve">to </w:t>
      </w:r>
      <w:r>
        <w:t>the terms employed in the impugned articles, the Court</w:t>
      </w:r>
      <w:r w:rsidR="00891594">
        <w:t xml:space="preserve"> took the view that some passages were ambiguous in the sense that they appeared to be stereotyped sentences falling within an ideologically nationalist language but that they could be considered as well as an apology of violence, </w:t>
      </w:r>
      <w:r w:rsidR="00891594" w:rsidRPr="00891594">
        <w:t>at least by some reader</w:t>
      </w:r>
      <w:r w:rsidR="00891594">
        <w:t>s who did</w:t>
      </w:r>
      <w:r w:rsidR="00891594" w:rsidRPr="00891594">
        <w:t xml:space="preserve"> not have sufficient know</w:t>
      </w:r>
      <w:r w:rsidR="00891594">
        <w:t>ledge of this jargon and who were</w:t>
      </w:r>
      <w:r w:rsidR="00891594" w:rsidRPr="00891594">
        <w:t xml:space="preserve"> likely to take the terms in question to the first degree</w:t>
      </w:r>
      <w:r w:rsidR="00891594">
        <w:t>. According to the Court</w:t>
      </w:r>
      <w:r w:rsidR="00605BBD">
        <w:t>,</w:t>
      </w:r>
      <w:r w:rsidR="00891594">
        <w:t xml:space="preserve"> the following passages fell within this category: </w:t>
      </w:r>
      <w:r w:rsidR="002E1B0B">
        <w:t>“</w:t>
      </w:r>
      <w:r w:rsidR="00891594" w:rsidRPr="00891594">
        <w:rPr>
          <w:i/>
        </w:rPr>
        <w:t>if [the Turkish majority of the country] begins to growl, exclaim and roar, the traitors will not find a place to breathe</w:t>
      </w:r>
      <w:r w:rsidR="00A54CB4">
        <w:rPr>
          <w:i/>
        </w:rPr>
        <w:t>”</w:t>
      </w:r>
      <w:r w:rsidR="00891594">
        <w:rPr>
          <w:i/>
        </w:rPr>
        <w:t xml:space="preserve">; </w:t>
      </w:r>
      <w:r w:rsidR="002E1B0B">
        <w:rPr>
          <w:i/>
        </w:rPr>
        <w:t>“</w:t>
      </w:r>
      <w:r w:rsidR="007C3315">
        <w:rPr>
          <w:i/>
        </w:rPr>
        <w:t>I am telling this to those who [push to</w:t>
      </w:r>
      <w:r w:rsidR="00605BBD">
        <w:rPr>
          <w:i/>
        </w:rPr>
        <w:t>o</w:t>
      </w:r>
      <w:r w:rsidR="007C3315">
        <w:rPr>
          <w:i/>
        </w:rPr>
        <w:t xml:space="preserve"> hard] certain things: do not play with the fire</w:t>
      </w:r>
      <w:r w:rsidR="00A54CB4">
        <w:rPr>
          <w:i/>
        </w:rPr>
        <w:t>”</w:t>
      </w:r>
      <w:r w:rsidR="007C3315">
        <w:rPr>
          <w:i/>
        </w:rPr>
        <w:t xml:space="preserve">; </w:t>
      </w:r>
      <w:r w:rsidR="002E1B0B">
        <w:rPr>
          <w:i/>
        </w:rPr>
        <w:t>“</w:t>
      </w:r>
      <w:r w:rsidR="00605BBD">
        <w:rPr>
          <w:i/>
        </w:rPr>
        <w:t xml:space="preserve">This report is a real treason, </w:t>
      </w:r>
      <w:r w:rsidR="007C3315" w:rsidRPr="007C3315">
        <w:rPr>
          <w:i/>
        </w:rPr>
        <w:t xml:space="preserve">those who </w:t>
      </w:r>
      <w:r w:rsidR="007C3315">
        <w:rPr>
          <w:i/>
        </w:rPr>
        <w:t>prepared this report</w:t>
      </w:r>
      <w:r w:rsidR="007C3315" w:rsidRPr="007C3315">
        <w:rPr>
          <w:i/>
        </w:rPr>
        <w:t xml:space="preserve"> want to see it put in pieces on their heads</w:t>
      </w:r>
      <w:r w:rsidR="00A54CB4">
        <w:rPr>
          <w:i/>
        </w:rPr>
        <w:t>”</w:t>
      </w:r>
      <w:r w:rsidR="00605BBD">
        <w:rPr>
          <w:i/>
        </w:rPr>
        <w:t>;</w:t>
      </w:r>
      <w:r w:rsidR="007C3315" w:rsidRPr="007C3315">
        <w:rPr>
          <w:i/>
        </w:rPr>
        <w:t xml:space="preserve"> Those who want to see the Turkish nation as a minority in this country will deal with us</w:t>
      </w:r>
      <w:r w:rsidR="00A54CB4">
        <w:rPr>
          <w:i/>
        </w:rPr>
        <w:t>”</w:t>
      </w:r>
      <w:r w:rsidR="007C3315">
        <w:rPr>
          <w:i/>
        </w:rPr>
        <w:t xml:space="preserve">. </w:t>
      </w:r>
      <w:r w:rsidR="007C3315" w:rsidRPr="007C3315">
        <w:t>[para. 84].</w:t>
      </w:r>
    </w:p>
    <w:p w14:paraId="0CB0B2FA" w14:textId="77777777" w:rsidR="007C3315" w:rsidRDefault="007C3315" w:rsidP="00777BD9">
      <w:pPr>
        <w:jc w:val="both"/>
      </w:pPr>
    </w:p>
    <w:p w14:paraId="71CEE1C8" w14:textId="23BEC947" w:rsidR="007C3315" w:rsidRDefault="007C3315" w:rsidP="007C3315">
      <w:pPr>
        <w:jc w:val="both"/>
      </w:pPr>
      <w:r>
        <w:t xml:space="preserve">However the Court considered other passages in the articles </w:t>
      </w:r>
      <w:r w:rsidRPr="007C3315">
        <w:t xml:space="preserve">clearly such as to directly or indirectly incite </w:t>
      </w:r>
      <w:r>
        <w:t>to violence or to justify violence. The Court put the followin</w:t>
      </w:r>
      <w:r w:rsidR="00605BBD">
        <w:t xml:space="preserve">g sentences in this category: </w:t>
      </w:r>
      <w:r w:rsidRPr="007C3315">
        <w:t>"</w:t>
      </w:r>
      <w:r w:rsidRPr="007C3315">
        <w:rPr>
          <w:i/>
        </w:rPr>
        <w:t xml:space="preserve">I swear to you, the price of our land has to be paid in blood and, if necessary, blood will be shed”; “In my opinion, if we had beaten up these individuals, people would have been relieved. These advocates of the </w:t>
      </w:r>
      <w:proofErr w:type="spellStart"/>
      <w:r w:rsidRPr="007C3315">
        <w:rPr>
          <w:i/>
        </w:rPr>
        <w:t>Sèvres</w:t>
      </w:r>
      <w:proofErr w:type="spellEnd"/>
      <w:r w:rsidRPr="007C3315">
        <w:rPr>
          <w:i/>
        </w:rPr>
        <w:t xml:space="preserve"> Treaty deserved a good hiding </w:t>
      </w:r>
      <w:r>
        <w:rPr>
          <w:i/>
        </w:rPr>
        <w:t>(</w:t>
      </w:r>
      <w:r w:rsidRPr="007C3315">
        <w:rPr>
          <w:i/>
        </w:rPr>
        <w:t>...</w:t>
      </w:r>
      <w:r>
        <w:rPr>
          <w:i/>
        </w:rPr>
        <w:t>)</w:t>
      </w:r>
      <w:r w:rsidRPr="007C3315">
        <w:rPr>
          <w:i/>
        </w:rPr>
        <w:t>”.</w:t>
      </w:r>
      <w:r w:rsidRPr="007C3315">
        <w:t xml:space="preserve"> </w:t>
      </w:r>
      <w:r>
        <w:t xml:space="preserve">According to the Court, these sentences, </w:t>
      </w:r>
      <w:r w:rsidRPr="007C3315">
        <w:t>coupled with the stigmatizing expressions widely used in the disputed articles, such as "</w:t>
      </w:r>
      <w:r w:rsidRPr="00605BBD">
        <w:rPr>
          <w:i/>
        </w:rPr>
        <w:t>traitor"</w:t>
      </w:r>
      <w:r w:rsidRPr="007C3315">
        <w:t>, "</w:t>
      </w:r>
      <w:r w:rsidRPr="00605BBD">
        <w:rPr>
          <w:i/>
        </w:rPr>
        <w:t>subversive people (...) to be sentenced to death</w:t>
      </w:r>
      <w:r w:rsidRPr="007C3315">
        <w:t>", "</w:t>
      </w:r>
      <w:r w:rsidRPr="00605BBD">
        <w:rPr>
          <w:i/>
        </w:rPr>
        <w:t>Trojan horse infiltrated among us</w:t>
      </w:r>
      <w:r w:rsidRPr="007C3315">
        <w:t>" and "</w:t>
      </w:r>
      <w:r w:rsidRPr="00605BBD">
        <w:rPr>
          <w:i/>
        </w:rPr>
        <w:t>spy</w:t>
      </w:r>
      <w:r w:rsidRPr="007C3315">
        <w:t>", fueled hatred against the persons concerned, namely the authors of the report, including the applicants, and exposed them</w:t>
      </w:r>
      <w:r>
        <w:t xml:space="preserve"> to a risk of physical violence, </w:t>
      </w:r>
      <w:r w:rsidRPr="007C3315">
        <w:t>especially since they were published in national newspapers.</w:t>
      </w:r>
      <w:r w:rsidR="00D71E67">
        <w:t xml:space="preserve"> [para. 85]</w:t>
      </w:r>
    </w:p>
    <w:p w14:paraId="28B8A201" w14:textId="77777777" w:rsidR="00A13F6E" w:rsidRDefault="00A13F6E" w:rsidP="007C3315">
      <w:pPr>
        <w:jc w:val="both"/>
      </w:pPr>
    </w:p>
    <w:p w14:paraId="4E2BCD04" w14:textId="55801E1D" w:rsidR="003A0DE3" w:rsidRDefault="00A13F6E" w:rsidP="003A0DE3">
      <w:pPr>
        <w:jc w:val="both"/>
      </w:pPr>
      <w:r>
        <w:t xml:space="preserve">The Court considered that the risk that </w:t>
      </w:r>
      <w:r w:rsidR="00765D97">
        <w:t xml:space="preserve">such writings </w:t>
      </w:r>
      <w:r w:rsidR="00765D97" w:rsidRPr="00765D97">
        <w:t xml:space="preserve">could </w:t>
      </w:r>
      <w:r w:rsidR="00765D97">
        <w:t>push for commission of violent acts</w:t>
      </w:r>
      <w:r w:rsidR="00765D97" w:rsidRPr="00765D97">
        <w:t xml:space="preserve"> against the applicants should not be underestimated. </w:t>
      </w:r>
      <w:r w:rsidR="00765D97">
        <w:t xml:space="preserve">In this regard, it pointed to the case of </w:t>
      </w:r>
      <w:proofErr w:type="spellStart"/>
      <w:r w:rsidR="00765D97">
        <w:t>Fırat</w:t>
      </w:r>
      <w:proofErr w:type="spellEnd"/>
      <w:r w:rsidR="00765D97">
        <w:t xml:space="preserve"> Dink, a Turkish journalist who had been murdered by an ultranationalist following a stigmatizing campaign accompanied by death threats</w:t>
      </w:r>
      <w:r w:rsidR="003577A7">
        <w:t xml:space="preserve"> </w:t>
      </w:r>
      <w:r w:rsidR="00605BBD">
        <w:t>because of</w:t>
      </w:r>
      <w:r w:rsidR="003577A7">
        <w:t xml:space="preserve"> his heterodox opinions on a subject deemed to be sensitive in Turkish society. [para. 86] The Court estimated therefore that the verbal attacks and physical threats </w:t>
      </w:r>
      <w:r w:rsidR="003A0DE3">
        <w:t>uttered in the impugned articles against the applicant</w:t>
      </w:r>
      <w:r w:rsidR="00605BBD">
        <w:t>s</w:t>
      </w:r>
      <w:r w:rsidR="003A0DE3">
        <w:t xml:space="preserve"> sought to repress their intellectual personality, </w:t>
      </w:r>
      <w:r w:rsidR="003A0DE3" w:rsidRPr="003A0DE3">
        <w:t xml:space="preserve">causing them feelings of fear, </w:t>
      </w:r>
      <w:r w:rsidR="003A0DE3">
        <w:t>anguish</w:t>
      </w:r>
      <w:r w:rsidR="003A0DE3" w:rsidRPr="003A0DE3">
        <w:t xml:space="preserve"> and vulnerability </w:t>
      </w:r>
      <w:r w:rsidR="003A0DE3">
        <w:t>that would</w:t>
      </w:r>
      <w:r w:rsidR="003A0DE3" w:rsidRPr="003A0DE3">
        <w:t xml:space="preserve"> humiliate them and break their will to defend their ideas. </w:t>
      </w:r>
      <w:r w:rsidR="003A0DE3">
        <w:t>[para. 87]</w:t>
      </w:r>
    </w:p>
    <w:p w14:paraId="0164E554" w14:textId="77777777" w:rsidR="003A0DE3" w:rsidRDefault="003A0DE3" w:rsidP="003A0DE3">
      <w:pPr>
        <w:jc w:val="both"/>
      </w:pPr>
    </w:p>
    <w:p w14:paraId="16BE76F3" w14:textId="68A6622F" w:rsidR="003A0DE3" w:rsidRPr="003A0DE3" w:rsidRDefault="003A0DE3" w:rsidP="00D77721">
      <w:pPr>
        <w:jc w:val="both"/>
      </w:pPr>
      <w:r>
        <w:t>Finally</w:t>
      </w:r>
      <w:r w:rsidR="00605BBD">
        <w:t>,</w:t>
      </w:r>
      <w:r>
        <w:t xml:space="preserve"> the Court examined the decisions of the </w:t>
      </w:r>
      <w:r w:rsidR="00D77721">
        <w:t>domestic courts</w:t>
      </w:r>
      <w:r>
        <w:t xml:space="preserve"> that rejected </w:t>
      </w:r>
      <w:r w:rsidR="00D77721">
        <w:t xml:space="preserve">the </w:t>
      </w:r>
      <w:r>
        <w:t xml:space="preserve">actions for damages of the applicants. </w:t>
      </w:r>
      <w:r w:rsidR="00D77721">
        <w:t>Without explicitly qualifying the articles as statement of fact, value judgment or even hate speech or violent speech, domestic courts had concluded that the impugned articles were not directly targeting the applicants and</w:t>
      </w:r>
      <w:r w:rsidR="00605BBD">
        <w:t xml:space="preserve"> </w:t>
      </w:r>
      <w:r w:rsidR="00D77721">
        <w:t xml:space="preserve">did not contain gratuitous attacks against them. The Court also noted that the domestic courts did not pay particular attention to the </w:t>
      </w:r>
      <w:r w:rsidR="00D77721" w:rsidRPr="00D77721">
        <w:t>threatening and violent</w:t>
      </w:r>
      <w:r w:rsidR="00605BBD">
        <w:t xml:space="preserve"> expressions contained in the articles</w:t>
      </w:r>
      <w:r w:rsidR="00D77721">
        <w:t xml:space="preserve">. [para. 88] </w:t>
      </w:r>
    </w:p>
    <w:p w14:paraId="23E5FAEF" w14:textId="77777777" w:rsidR="00765D97" w:rsidRPr="00765D97" w:rsidRDefault="00765D97" w:rsidP="00765D97">
      <w:pPr>
        <w:jc w:val="both"/>
      </w:pPr>
    </w:p>
    <w:p w14:paraId="48D859B5" w14:textId="685048AD" w:rsidR="00240AB7" w:rsidRDefault="00D77721" w:rsidP="00240AB7">
      <w:pPr>
        <w:jc w:val="both"/>
      </w:pPr>
      <w:r>
        <w:t xml:space="preserve">The Court ultimately </w:t>
      </w:r>
      <w:r w:rsidR="00240AB7">
        <w:t xml:space="preserve">decided </w:t>
      </w:r>
      <w:r>
        <w:t xml:space="preserve">that the domestic courts did not </w:t>
      </w:r>
      <w:r w:rsidR="00240AB7">
        <w:t>adequately</w:t>
      </w:r>
      <w:r>
        <w:t xml:space="preserve"> balance the</w:t>
      </w:r>
      <w:r w:rsidR="00240AB7">
        <w:t xml:space="preserve"> applicants’</w:t>
      </w:r>
      <w:r>
        <w:t xml:space="preserve"> right to respect</w:t>
      </w:r>
      <w:r w:rsidR="00605BBD">
        <w:t xml:space="preserve"> for</w:t>
      </w:r>
      <w:r w:rsidR="00240AB7">
        <w:t xml:space="preserve"> their</w:t>
      </w:r>
      <w:r>
        <w:t xml:space="preserve"> private life and the freedom of press. </w:t>
      </w:r>
      <w:r w:rsidR="00605BBD">
        <w:t xml:space="preserve">In the Court’s view, their </w:t>
      </w:r>
      <w:r w:rsidR="00240AB7">
        <w:t>decisions did not provide a satisfactory answer to the question whether freedom of press</w:t>
      </w:r>
      <w:r w:rsidR="00240AB7" w:rsidRPr="00240AB7">
        <w:t xml:space="preserve"> could justify, in the circumstances of the case, </w:t>
      </w:r>
      <w:r w:rsidR="00240AB7">
        <w:t>the infringement</w:t>
      </w:r>
      <w:r w:rsidR="00240AB7" w:rsidRPr="00240AB7">
        <w:t xml:space="preserve"> </w:t>
      </w:r>
      <w:r w:rsidR="00240AB7">
        <w:t>of</w:t>
      </w:r>
      <w:r w:rsidR="00240AB7" w:rsidRPr="00240AB7">
        <w:t xml:space="preserve"> the applicants’ right to respect for their private life by passages that constituted hate speech and </w:t>
      </w:r>
      <w:r w:rsidR="00240AB7">
        <w:t>call to violence</w:t>
      </w:r>
      <w:r w:rsidR="00240AB7" w:rsidRPr="00240AB7">
        <w:t xml:space="preserve">, thus being likely to expose them to public </w:t>
      </w:r>
      <w:r w:rsidR="00240AB7">
        <w:t>aversion. [para. 89].</w:t>
      </w:r>
      <w:r w:rsidR="00240AB7" w:rsidRPr="00240AB7">
        <w:t xml:space="preserve"> </w:t>
      </w:r>
    </w:p>
    <w:p w14:paraId="2EF663C3" w14:textId="77777777" w:rsidR="00240AB7" w:rsidRDefault="00240AB7" w:rsidP="00240AB7">
      <w:pPr>
        <w:jc w:val="both"/>
      </w:pPr>
    </w:p>
    <w:p w14:paraId="3D5DFA52" w14:textId="6B0102C4" w:rsidR="00240AB7" w:rsidRDefault="00240AB7" w:rsidP="00240AB7">
      <w:pPr>
        <w:jc w:val="both"/>
      </w:pPr>
      <w:r>
        <w:t>Accordingly</w:t>
      </w:r>
      <w:r w:rsidR="00605BBD">
        <w:t>,</w:t>
      </w:r>
      <w:r>
        <w:t xml:space="preserve"> </w:t>
      </w:r>
      <w:r w:rsidRPr="00240AB7">
        <w:t xml:space="preserve">The Court </w:t>
      </w:r>
      <w:r>
        <w:t>held</w:t>
      </w:r>
      <w:r w:rsidRPr="00240AB7">
        <w:t xml:space="preserve"> that the national courts had not struck a fair balance between the applicants’ right to respect for their private life and the freedom of press. </w:t>
      </w:r>
      <w:r>
        <w:t xml:space="preserve">Therefore there had been a violation of Article 8 of the Convention. </w:t>
      </w:r>
    </w:p>
    <w:p w14:paraId="423ED0E8" w14:textId="77777777" w:rsidR="00240AB7" w:rsidRPr="00240AB7" w:rsidRDefault="00C5422F" w:rsidP="00240AB7">
      <w:pPr>
        <w:jc w:val="both"/>
      </w:pPr>
      <w:r>
        <w:t xml:space="preserve">Estimating that it had examined the principal legal question raised by the instant application, The Court did not deem necessary to decide separately on the complaints under Articles 10 and 14 of the Convention. </w:t>
      </w:r>
    </w:p>
    <w:p w14:paraId="7EE1226E" w14:textId="77777777" w:rsidR="00A13F6E" w:rsidRPr="007C3315" w:rsidRDefault="00A13F6E" w:rsidP="007C3315">
      <w:pPr>
        <w:jc w:val="both"/>
      </w:pPr>
    </w:p>
    <w:p w14:paraId="1DF2C11C" w14:textId="77777777" w:rsidR="00C5422F" w:rsidRDefault="00C5422F" w:rsidP="00C5422F">
      <w:pPr>
        <w:jc w:val="both"/>
        <w:rPr>
          <w:b/>
          <w:lang w:val="en-GB"/>
        </w:rPr>
      </w:pPr>
      <w:r w:rsidRPr="00C5422F">
        <w:rPr>
          <w:b/>
        </w:rPr>
        <w:t xml:space="preserve">3. </w:t>
      </w:r>
      <w:r w:rsidRPr="00AA68FF">
        <w:rPr>
          <w:b/>
          <w:lang w:val="en-GB"/>
        </w:rPr>
        <w:t xml:space="preserve"> Global Perspective: National (ECtHR)</w:t>
      </w:r>
    </w:p>
    <w:p w14:paraId="20D404F4" w14:textId="77777777" w:rsidR="00605BBD" w:rsidRDefault="00605BBD" w:rsidP="00C5422F">
      <w:pPr>
        <w:jc w:val="both"/>
        <w:rPr>
          <w:b/>
          <w:lang w:val="en-GB"/>
        </w:rPr>
      </w:pPr>
    </w:p>
    <w:p w14:paraId="6C5B7BB8" w14:textId="517FFB64" w:rsidR="00B67368" w:rsidRDefault="00B67368" w:rsidP="00B67368">
      <w:pPr>
        <w:jc w:val="both"/>
      </w:pPr>
      <w:proofErr w:type="spellStart"/>
      <w:r>
        <w:rPr>
          <w:i/>
          <w:iCs/>
        </w:rPr>
        <w:t>Király</w:t>
      </w:r>
      <w:proofErr w:type="spellEnd"/>
      <w:r>
        <w:rPr>
          <w:i/>
          <w:iCs/>
        </w:rPr>
        <w:t xml:space="preserve"> and </w:t>
      </w:r>
      <w:proofErr w:type="spellStart"/>
      <w:r>
        <w:rPr>
          <w:i/>
          <w:iCs/>
        </w:rPr>
        <w:t>Dömötör</w:t>
      </w:r>
      <w:proofErr w:type="spellEnd"/>
      <w:r>
        <w:rPr>
          <w:i/>
          <w:iCs/>
        </w:rPr>
        <w:t xml:space="preserve"> v.</w:t>
      </w:r>
      <w:r w:rsidRPr="00B67368">
        <w:rPr>
          <w:i/>
          <w:iCs/>
        </w:rPr>
        <w:t xml:space="preserve"> </w:t>
      </w:r>
      <w:r>
        <w:rPr>
          <w:i/>
          <w:iCs/>
        </w:rPr>
        <w:t>Hungary</w:t>
      </w:r>
      <w:r w:rsidRPr="00B67368">
        <w:t xml:space="preserve">, </w:t>
      </w:r>
      <w:r>
        <w:t xml:space="preserve">App. </w:t>
      </w:r>
      <w:r w:rsidRPr="00B67368">
        <w:t>no</w:t>
      </w:r>
      <w:r>
        <w:t>.</w:t>
      </w:r>
      <w:r w:rsidRPr="00B67368">
        <w:t xml:space="preserve"> </w:t>
      </w:r>
      <w:r>
        <w:t>10851/13 (</w:t>
      </w:r>
      <w:r w:rsidRPr="00B67368">
        <w:t>2017</w:t>
      </w:r>
      <w:r>
        <w:t>)</w:t>
      </w:r>
      <w:r w:rsidRPr="00B67368">
        <w:t xml:space="preserve"> </w:t>
      </w:r>
    </w:p>
    <w:p w14:paraId="4FF0B583" w14:textId="0D2CA3F5" w:rsidR="00B67368" w:rsidRDefault="00B67368" w:rsidP="00B67368">
      <w:pPr>
        <w:jc w:val="both"/>
      </w:pPr>
      <w:r>
        <w:rPr>
          <w:i/>
          <w:iCs/>
        </w:rPr>
        <w:t>Von Hannover v. Germany</w:t>
      </w:r>
      <w:r w:rsidRPr="00B67368">
        <w:t xml:space="preserve">, </w:t>
      </w:r>
      <w:r>
        <w:t xml:space="preserve">App. </w:t>
      </w:r>
      <w:r w:rsidRPr="00B67368">
        <w:t xml:space="preserve">no </w:t>
      </w:r>
      <w:r>
        <w:t>59320/00 (2004)</w:t>
      </w:r>
    </w:p>
    <w:p w14:paraId="744D28B7" w14:textId="2653D430" w:rsidR="00B67368" w:rsidRPr="00B67368" w:rsidRDefault="00B67368" w:rsidP="00B67368">
      <w:pPr>
        <w:jc w:val="both"/>
      </w:pPr>
      <w:r w:rsidRPr="00B67368">
        <w:rPr>
          <w:i/>
          <w:iCs/>
        </w:rPr>
        <w:t xml:space="preserve">Axel Springer AG </w:t>
      </w:r>
      <w:r>
        <w:rPr>
          <w:i/>
          <w:iCs/>
        </w:rPr>
        <w:t>v. Germany</w:t>
      </w:r>
      <w:r w:rsidRPr="00B67368">
        <w:t xml:space="preserve"> [GC], </w:t>
      </w:r>
      <w:r>
        <w:t xml:space="preserve">App. </w:t>
      </w:r>
      <w:r w:rsidRPr="00B67368">
        <w:t xml:space="preserve">no </w:t>
      </w:r>
      <w:r>
        <w:t>39954/08 (2012)</w:t>
      </w:r>
    </w:p>
    <w:p w14:paraId="5AD233C1" w14:textId="02084628" w:rsidR="00B67368" w:rsidRDefault="00B67368" w:rsidP="00B67368">
      <w:pPr>
        <w:jc w:val="both"/>
      </w:pPr>
      <w:proofErr w:type="spellStart"/>
      <w:r>
        <w:rPr>
          <w:i/>
          <w:iCs/>
        </w:rPr>
        <w:t>Delfi</w:t>
      </w:r>
      <w:proofErr w:type="spellEnd"/>
      <w:r>
        <w:rPr>
          <w:i/>
          <w:iCs/>
        </w:rPr>
        <w:t xml:space="preserve"> AS v. Estonia</w:t>
      </w:r>
      <w:r w:rsidRPr="00B67368">
        <w:rPr>
          <w:i/>
          <w:iCs/>
        </w:rPr>
        <w:t xml:space="preserve"> </w:t>
      </w:r>
      <w:r w:rsidRPr="00B67368">
        <w:t xml:space="preserve">[GC], </w:t>
      </w:r>
      <w:r>
        <w:t xml:space="preserve">App. </w:t>
      </w:r>
      <w:r w:rsidRPr="00B67368">
        <w:t xml:space="preserve">no </w:t>
      </w:r>
      <w:r>
        <w:t>64569/09 (2015)</w:t>
      </w:r>
    </w:p>
    <w:p w14:paraId="6F205D59" w14:textId="17702EB5" w:rsidR="00B67368" w:rsidRDefault="00B67368" w:rsidP="00B67368">
      <w:pPr>
        <w:jc w:val="both"/>
      </w:pPr>
      <w:proofErr w:type="spellStart"/>
      <w:r>
        <w:rPr>
          <w:i/>
          <w:iCs/>
        </w:rPr>
        <w:t>Bédat</w:t>
      </w:r>
      <w:proofErr w:type="spellEnd"/>
      <w:r>
        <w:rPr>
          <w:i/>
          <w:iCs/>
        </w:rPr>
        <w:t xml:space="preserve"> v. Switzerland</w:t>
      </w:r>
      <w:r w:rsidRPr="00B67368">
        <w:rPr>
          <w:i/>
          <w:iCs/>
        </w:rPr>
        <w:t xml:space="preserve"> </w:t>
      </w:r>
      <w:r w:rsidRPr="00B67368">
        <w:t xml:space="preserve">[GC], </w:t>
      </w:r>
      <w:r>
        <w:t xml:space="preserve">App. </w:t>
      </w:r>
      <w:r w:rsidRPr="00B67368">
        <w:t xml:space="preserve">no 56925/08 </w:t>
      </w:r>
      <w:r>
        <w:t>(2016)</w:t>
      </w:r>
    </w:p>
    <w:p w14:paraId="4EB4EA2C" w14:textId="660988AB" w:rsidR="00B67368" w:rsidRPr="00B67368" w:rsidRDefault="00B67368" w:rsidP="00B67368">
      <w:pPr>
        <w:jc w:val="both"/>
      </w:pPr>
      <w:proofErr w:type="spellStart"/>
      <w:r w:rsidRPr="00B67368">
        <w:rPr>
          <w:i/>
          <w:iCs/>
        </w:rPr>
        <w:t>Medžlis</w:t>
      </w:r>
      <w:proofErr w:type="spellEnd"/>
      <w:r w:rsidRPr="00B67368">
        <w:rPr>
          <w:i/>
          <w:iCs/>
        </w:rPr>
        <w:t xml:space="preserve"> </w:t>
      </w:r>
      <w:proofErr w:type="spellStart"/>
      <w:r w:rsidRPr="00B67368">
        <w:rPr>
          <w:i/>
          <w:iCs/>
        </w:rPr>
        <w:t>Islams</w:t>
      </w:r>
      <w:r>
        <w:rPr>
          <w:i/>
          <w:iCs/>
        </w:rPr>
        <w:t>ke</w:t>
      </w:r>
      <w:proofErr w:type="spellEnd"/>
      <w:r>
        <w:rPr>
          <w:i/>
          <w:iCs/>
        </w:rPr>
        <w:t xml:space="preserve"> </w:t>
      </w:r>
      <w:proofErr w:type="spellStart"/>
      <w:r>
        <w:rPr>
          <w:i/>
          <w:iCs/>
        </w:rPr>
        <w:t>Zajednice</w:t>
      </w:r>
      <w:proofErr w:type="spellEnd"/>
      <w:r>
        <w:rPr>
          <w:i/>
          <w:iCs/>
        </w:rPr>
        <w:t xml:space="preserve"> </w:t>
      </w:r>
      <w:proofErr w:type="spellStart"/>
      <w:r>
        <w:rPr>
          <w:i/>
          <w:iCs/>
        </w:rPr>
        <w:t>Brčko</w:t>
      </w:r>
      <w:proofErr w:type="spellEnd"/>
      <w:r>
        <w:rPr>
          <w:i/>
          <w:iCs/>
        </w:rPr>
        <w:t xml:space="preserve"> </w:t>
      </w:r>
      <w:r w:rsidR="00AD7942">
        <w:rPr>
          <w:i/>
          <w:iCs/>
        </w:rPr>
        <w:t>and al.</w:t>
      </w:r>
      <w:r>
        <w:rPr>
          <w:i/>
          <w:iCs/>
        </w:rPr>
        <w:t xml:space="preserve"> v.</w:t>
      </w:r>
      <w:r w:rsidRPr="00B67368">
        <w:rPr>
          <w:i/>
          <w:iCs/>
        </w:rPr>
        <w:t xml:space="preserve"> Bosnia-Herzegovina </w:t>
      </w:r>
      <w:r w:rsidRPr="00B67368">
        <w:t>[GC]</w:t>
      </w:r>
      <w:r w:rsidRPr="00B67368">
        <w:rPr>
          <w:i/>
          <w:iCs/>
        </w:rPr>
        <w:t>,</w:t>
      </w:r>
      <w:r>
        <w:rPr>
          <w:i/>
          <w:iCs/>
        </w:rPr>
        <w:t xml:space="preserve"> </w:t>
      </w:r>
      <w:r w:rsidRPr="00B67368">
        <w:rPr>
          <w:iCs/>
        </w:rPr>
        <w:t>App.</w:t>
      </w:r>
      <w:r w:rsidRPr="00B67368">
        <w:rPr>
          <w:i/>
          <w:iCs/>
        </w:rPr>
        <w:t xml:space="preserve"> </w:t>
      </w:r>
      <w:r w:rsidRPr="00B67368">
        <w:t xml:space="preserve">no </w:t>
      </w:r>
      <w:r>
        <w:t>17224/11 (2017)</w:t>
      </w:r>
    </w:p>
    <w:p w14:paraId="3A534B02" w14:textId="396E1EC9" w:rsidR="00B67368" w:rsidRDefault="00B67368" w:rsidP="00B67368">
      <w:pPr>
        <w:jc w:val="both"/>
      </w:pPr>
      <w:r>
        <w:rPr>
          <w:i/>
          <w:iCs/>
        </w:rPr>
        <w:t>Pfeifer c. Austria</w:t>
      </w:r>
      <w:r w:rsidRPr="00B67368">
        <w:t xml:space="preserve">, </w:t>
      </w:r>
      <w:r>
        <w:t xml:space="preserve">App. </w:t>
      </w:r>
      <w:r w:rsidRPr="00B67368">
        <w:t xml:space="preserve">no 12556/03 </w:t>
      </w:r>
      <w:r>
        <w:t>(2007)</w:t>
      </w:r>
    </w:p>
    <w:p w14:paraId="08851152" w14:textId="2F3955F3" w:rsidR="00B67368" w:rsidRPr="00B67368" w:rsidRDefault="00B67368" w:rsidP="00B67368">
      <w:pPr>
        <w:jc w:val="both"/>
      </w:pPr>
      <w:r>
        <w:rPr>
          <w:i/>
          <w:iCs/>
        </w:rPr>
        <w:t>Petrie v.</w:t>
      </w:r>
      <w:r w:rsidRPr="00B67368">
        <w:rPr>
          <w:i/>
          <w:iCs/>
        </w:rPr>
        <w:t xml:space="preserve"> Ital</w:t>
      </w:r>
      <w:r>
        <w:rPr>
          <w:i/>
          <w:iCs/>
        </w:rPr>
        <w:t>y</w:t>
      </w:r>
      <w:r w:rsidRPr="00B67368">
        <w:t xml:space="preserve">, </w:t>
      </w:r>
      <w:r>
        <w:t xml:space="preserve">App. </w:t>
      </w:r>
      <w:r w:rsidRPr="00B67368">
        <w:t xml:space="preserve">no 25322/12 </w:t>
      </w:r>
      <w:r>
        <w:t>(2017)</w:t>
      </w:r>
    </w:p>
    <w:p w14:paraId="6133E519" w14:textId="41B50133" w:rsidR="00B67368" w:rsidRDefault="00B67368" w:rsidP="00B67368">
      <w:pPr>
        <w:jc w:val="both"/>
      </w:pPr>
      <w:r>
        <w:rPr>
          <w:i/>
          <w:iCs/>
        </w:rPr>
        <w:t>Sanchez Cardenas v. Norway</w:t>
      </w:r>
      <w:r w:rsidRPr="00B67368">
        <w:t xml:space="preserve">, </w:t>
      </w:r>
      <w:r>
        <w:t xml:space="preserve">App. </w:t>
      </w:r>
      <w:r w:rsidRPr="00B67368">
        <w:t xml:space="preserve">no 12148/03 </w:t>
      </w:r>
      <w:r>
        <w:t>(2007)</w:t>
      </w:r>
    </w:p>
    <w:p w14:paraId="235F0469" w14:textId="7DAC85EB" w:rsidR="00B67368" w:rsidRDefault="00AD7942" w:rsidP="00B67368">
      <w:pPr>
        <w:jc w:val="both"/>
      </w:pPr>
      <w:proofErr w:type="spellStart"/>
      <w:r>
        <w:rPr>
          <w:i/>
          <w:iCs/>
        </w:rPr>
        <w:t>Bladet</w:t>
      </w:r>
      <w:proofErr w:type="spellEnd"/>
      <w:r>
        <w:rPr>
          <w:i/>
          <w:iCs/>
        </w:rPr>
        <w:t xml:space="preserve"> </w:t>
      </w:r>
      <w:proofErr w:type="spellStart"/>
      <w:r>
        <w:rPr>
          <w:i/>
          <w:iCs/>
        </w:rPr>
        <w:t>Tromsø</w:t>
      </w:r>
      <w:proofErr w:type="spellEnd"/>
      <w:r>
        <w:rPr>
          <w:i/>
          <w:iCs/>
        </w:rPr>
        <w:t xml:space="preserve"> and</w:t>
      </w:r>
      <w:r w:rsidR="00B67368" w:rsidRPr="00B67368">
        <w:rPr>
          <w:i/>
          <w:iCs/>
        </w:rPr>
        <w:t xml:space="preserve"> </w:t>
      </w:r>
      <w:proofErr w:type="spellStart"/>
      <w:r w:rsidR="00B67368" w:rsidRPr="00B67368">
        <w:rPr>
          <w:i/>
          <w:iCs/>
        </w:rPr>
        <w:t>Ste</w:t>
      </w:r>
      <w:r w:rsidR="00B67368">
        <w:rPr>
          <w:i/>
          <w:iCs/>
        </w:rPr>
        <w:t>nsaas</w:t>
      </w:r>
      <w:proofErr w:type="spellEnd"/>
      <w:r w:rsidR="00B67368">
        <w:rPr>
          <w:i/>
          <w:iCs/>
        </w:rPr>
        <w:t xml:space="preserve"> v. Norway</w:t>
      </w:r>
      <w:r w:rsidR="00B67368" w:rsidRPr="00B67368">
        <w:rPr>
          <w:i/>
          <w:iCs/>
        </w:rPr>
        <w:t xml:space="preserve"> </w:t>
      </w:r>
      <w:r w:rsidR="00B67368" w:rsidRPr="00B67368">
        <w:t xml:space="preserve">[GC], </w:t>
      </w:r>
      <w:r w:rsidR="00B67368">
        <w:t xml:space="preserve">App. </w:t>
      </w:r>
      <w:r w:rsidR="00B67368" w:rsidRPr="00B67368">
        <w:t xml:space="preserve">no 21980/93 </w:t>
      </w:r>
      <w:r w:rsidR="00B67368">
        <w:t>(1999)</w:t>
      </w:r>
    </w:p>
    <w:p w14:paraId="7C1DC3FF" w14:textId="2A4DDDA5" w:rsidR="00B67368" w:rsidRDefault="00B67368" w:rsidP="00B67368">
      <w:pPr>
        <w:jc w:val="both"/>
      </w:pPr>
      <w:proofErr w:type="spellStart"/>
      <w:r>
        <w:rPr>
          <w:i/>
          <w:iCs/>
        </w:rPr>
        <w:t>Thoma</w:t>
      </w:r>
      <w:proofErr w:type="spellEnd"/>
      <w:r>
        <w:rPr>
          <w:i/>
          <w:iCs/>
        </w:rPr>
        <w:t xml:space="preserve"> v</w:t>
      </w:r>
      <w:r w:rsidRPr="00B67368">
        <w:rPr>
          <w:i/>
          <w:iCs/>
        </w:rPr>
        <w:t>. Luxembourg</w:t>
      </w:r>
      <w:r w:rsidRPr="00B67368">
        <w:t xml:space="preserve">, </w:t>
      </w:r>
      <w:r>
        <w:t xml:space="preserve">App. </w:t>
      </w:r>
      <w:r w:rsidRPr="00B67368">
        <w:t xml:space="preserve">no 38432/97 </w:t>
      </w:r>
      <w:r>
        <w:t>(2001)</w:t>
      </w:r>
    </w:p>
    <w:p w14:paraId="1603DCE5" w14:textId="7D3B0186" w:rsidR="00B67368" w:rsidRDefault="00B67368" w:rsidP="00B67368">
      <w:pPr>
        <w:jc w:val="both"/>
        <w:rPr>
          <w:iCs/>
        </w:rPr>
      </w:pPr>
      <w:r w:rsidRPr="00B67368">
        <w:rPr>
          <w:i/>
          <w:iCs/>
        </w:rPr>
        <w:t xml:space="preserve">Amorim </w:t>
      </w:r>
      <w:proofErr w:type="spellStart"/>
      <w:r>
        <w:rPr>
          <w:i/>
          <w:iCs/>
        </w:rPr>
        <w:t>Gi</w:t>
      </w:r>
      <w:r w:rsidR="00AD7942">
        <w:rPr>
          <w:i/>
          <w:iCs/>
        </w:rPr>
        <w:t>estas</w:t>
      </w:r>
      <w:proofErr w:type="spellEnd"/>
      <w:r w:rsidR="00AD7942">
        <w:rPr>
          <w:i/>
          <w:iCs/>
        </w:rPr>
        <w:t xml:space="preserve"> and</w:t>
      </w:r>
      <w:r>
        <w:rPr>
          <w:i/>
          <w:iCs/>
        </w:rPr>
        <w:t xml:space="preserve"> Jesus Costa </w:t>
      </w:r>
      <w:proofErr w:type="spellStart"/>
      <w:r>
        <w:rPr>
          <w:i/>
          <w:iCs/>
        </w:rPr>
        <w:t>Bordalo</w:t>
      </w:r>
      <w:proofErr w:type="spellEnd"/>
      <w:r>
        <w:rPr>
          <w:i/>
          <w:iCs/>
        </w:rPr>
        <w:t xml:space="preserve"> v</w:t>
      </w:r>
      <w:r w:rsidRPr="00B67368">
        <w:rPr>
          <w:i/>
          <w:iCs/>
        </w:rPr>
        <w:t>. Portugal</w:t>
      </w:r>
      <w:r>
        <w:rPr>
          <w:i/>
          <w:iCs/>
        </w:rPr>
        <w:t xml:space="preserve">, </w:t>
      </w:r>
      <w:r>
        <w:rPr>
          <w:iCs/>
        </w:rPr>
        <w:t xml:space="preserve">App. no. </w:t>
      </w:r>
      <w:r w:rsidRPr="00B67368">
        <w:rPr>
          <w:iCs/>
        </w:rPr>
        <w:t xml:space="preserve">37840/10 </w:t>
      </w:r>
      <w:r>
        <w:rPr>
          <w:iCs/>
        </w:rPr>
        <w:t>(2014)</w:t>
      </w:r>
    </w:p>
    <w:p w14:paraId="3308A26E" w14:textId="4DED921C" w:rsidR="00B67368" w:rsidRDefault="00AD7942" w:rsidP="00B67368">
      <w:pPr>
        <w:jc w:val="both"/>
        <w:rPr>
          <w:iCs/>
        </w:rPr>
      </w:pPr>
      <w:proofErr w:type="spellStart"/>
      <w:r>
        <w:rPr>
          <w:i/>
          <w:iCs/>
        </w:rPr>
        <w:t>Fressoz</w:t>
      </w:r>
      <w:proofErr w:type="spellEnd"/>
      <w:r>
        <w:rPr>
          <w:i/>
          <w:iCs/>
        </w:rPr>
        <w:t xml:space="preserve"> and</w:t>
      </w:r>
      <w:r w:rsidR="00B67368">
        <w:rPr>
          <w:i/>
          <w:iCs/>
        </w:rPr>
        <w:t xml:space="preserve"> </w:t>
      </w:r>
      <w:proofErr w:type="spellStart"/>
      <w:r w:rsidR="00B67368">
        <w:rPr>
          <w:i/>
          <w:iCs/>
        </w:rPr>
        <w:t>Roire</w:t>
      </w:r>
      <w:proofErr w:type="spellEnd"/>
      <w:r w:rsidR="00B67368">
        <w:rPr>
          <w:i/>
          <w:iCs/>
        </w:rPr>
        <w:t xml:space="preserve"> v</w:t>
      </w:r>
      <w:r w:rsidR="00B67368" w:rsidRPr="00B67368">
        <w:rPr>
          <w:i/>
          <w:iCs/>
        </w:rPr>
        <w:t xml:space="preserve">. France </w:t>
      </w:r>
      <w:r w:rsidR="00B67368" w:rsidRPr="00B67368">
        <w:rPr>
          <w:iCs/>
        </w:rPr>
        <w:t xml:space="preserve">[GC], </w:t>
      </w:r>
      <w:r w:rsidR="00B67368">
        <w:rPr>
          <w:iCs/>
        </w:rPr>
        <w:t xml:space="preserve">App. </w:t>
      </w:r>
      <w:r w:rsidR="00B67368" w:rsidRPr="00B67368">
        <w:rPr>
          <w:iCs/>
        </w:rPr>
        <w:t xml:space="preserve">no 29183/95 </w:t>
      </w:r>
      <w:r w:rsidR="00B67368">
        <w:rPr>
          <w:iCs/>
        </w:rPr>
        <w:t>(1999)</w:t>
      </w:r>
    </w:p>
    <w:p w14:paraId="167394FC" w14:textId="23FBDEC6" w:rsidR="00AD7942" w:rsidRDefault="00AD7942" w:rsidP="00AD7942">
      <w:pPr>
        <w:jc w:val="both"/>
        <w:rPr>
          <w:iCs/>
        </w:rPr>
      </w:pPr>
      <w:r w:rsidRPr="00AD7942">
        <w:rPr>
          <w:i/>
          <w:iCs/>
        </w:rPr>
        <w:t xml:space="preserve">Radio France </w:t>
      </w:r>
      <w:r>
        <w:rPr>
          <w:i/>
          <w:iCs/>
        </w:rPr>
        <w:t>et al. v</w:t>
      </w:r>
      <w:r w:rsidRPr="00AD7942">
        <w:rPr>
          <w:i/>
          <w:iCs/>
        </w:rPr>
        <w:t>. France</w:t>
      </w:r>
      <w:r w:rsidRPr="00AD7942">
        <w:rPr>
          <w:iCs/>
        </w:rPr>
        <w:t xml:space="preserve">, </w:t>
      </w:r>
      <w:r>
        <w:rPr>
          <w:iCs/>
        </w:rPr>
        <w:t xml:space="preserve">App. </w:t>
      </w:r>
      <w:r w:rsidRPr="00AD7942">
        <w:rPr>
          <w:iCs/>
        </w:rPr>
        <w:t xml:space="preserve">no 53984/00 </w:t>
      </w:r>
      <w:r>
        <w:rPr>
          <w:iCs/>
        </w:rPr>
        <w:t>(2004)</w:t>
      </w:r>
    </w:p>
    <w:p w14:paraId="71085C99" w14:textId="02625867" w:rsidR="00AD7942" w:rsidRDefault="00AD7942" w:rsidP="00AD7942">
      <w:pPr>
        <w:jc w:val="both"/>
        <w:rPr>
          <w:iCs/>
        </w:rPr>
      </w:pPr>
      <w:r>
        <w:rPr>
          <w:i/>
          <w:iCs/>
        </w:rPr>
        <w:t xml:space="preserve">July and </w:t>
      </w:r>
      <w:proofErr w:type="spellStart"/>
      <w:r>
        <w:rPr>
          <w:i/>
          <w:iCs/>
        </w:rPr>
        <w:t>Sarl</w:t>
      </w:r>
      <w:proofErr w:type="spellEnd"/>
      <w:r>
        <w:rPr>
          <w:i/>
          <w:iCs/>
        </w:rPr>
        <w:t xml:space="preserve"> </w:t>
      </w:r>
      <w:proofErr w:type="spellStart"/>
      <w:r>
        <w:rPr>
          <w:i/>
          <w:iCs/>
        </w:rPr>
        <w:t>Libération</w:t>
      </w:r>
      <w:proofErr w:type="spellEnd"/>
      <w:r>
        <w:rPr>
          <w:i/>
          <w:iCs/>
        </w:rPr>
        <w:t xml:space="preserve"> v</w:t>
      </w:r>
      <w:r w:rsidRPr="00AD7942">
        <w:rPr>
          <w:i/>
          <w:iCs/>
        </w:rPr>
        <w:t>. France</w:t>
      </w:r>
      <w:r w:rsidRPr="00AD7942">
        <w:rPr>
          <w:iCs/>
        </w:rPr>
        <w:t xml:space="preserve">, </w:t>
      </w:r>
      <w:r>
        <w:rPr>
          <w:iCs/>
        </w:rPr>
        <w:t xml:space="preserve">App. </w:t>
      </w:r>
      <w:r w:rsidRPr="00AD7942">
        <w:rPr>
          <w:iCs/>
        </w:rPr>
        <w:t xml:space="preserve">no20893/03 </w:t>
      </w:r>
      <w:r>
        <w:rPr>
          <w:iCs/>
        </w:rPr>
        <w:t>(2008)</w:t>
      </w:r>
    </w:p>
    <w:p w14:paraId="07C1D01A" w14:textId="419A735A" w:rsidR="00AD7942" w:rsidRDefault="00AD7942" w:rsidP="00AD7942">
      <w:pPr>
        <w:jc w:val="both"/>
        <w:rPr>
          <w:iCs/>
        </w:rPr>
      </w:pPr>
      <w:proofErr w:type="spellStart"/>
      <w:r>
        <w:rPr>
          <w:i/>
          <w:iCs/>
        </w:rPr>
        <w:t>Falakaoğlu</w:t>
      </w:r>
      <w:proofErr w:type="spellEnd"/>
      <w:r>
        <w:rPr>
          <w:i/>
          <w:iCs/>
        </w:rPr>
        <w:t xml:space="preserve"> and </w:t>
      </w:r>
      <w:proofErr w:type="spellStart"/>
      <w:r>
        <w:rPr>
          <w:i/>
          <w:iCs/>
        </w:rPr>
        <w:t>Saygılı</w:t>
      </w:r>
      <w:proofErr w:type="spellEnd"/>
      <w:r>
        <w:rPr>
          <w:i/>
          <w:iCs/>
        </w:rPr>
        <w:t xml:space="preserve"> v</w:t>
      </w:r>
      <w:r w:rsidRPr="00AD7942">
        <w:rPr>
          <w:i/>
          <w:iCs/>
        </w:rPr>
        <w:t>. Tu</w:t>
      </w:r>
      <w:r w:rsidR="007A6151">
        <w:rPr>
          <w:i/>
          <w:iCs/>
        </w:rPr>
        <w:t>rkey</w:t>
      </w:r>
      <w:r w:rsidRPr="00AD7942">
        <w:rPr>
          <w:iCs/>
        </w:rPr>
        <w:t xml:space="preserve">, </w:t>
      </w:r>
      <w:r>
        <w:rPr>
          <w:iCs/>
        </w:rPr>
        <w:t xml:space="preserve">App. </w:t>
      </w:r>
      <w:r w:rsidRPr="00AD7942">
        <w:rPr>
          <w:iCs/>
        </w:rPr>
        <w:t xml:space="preserve">no 11461/03 </w:t>
      </w:r>
      <w:r>
        <w:rPr>
          <w:iCs/>
        </w:rPr>
        <w:t>(2006)</w:t>
      </w:r>
    </w:p>
    <w:p w14:paraId="5F13C251" w14:textId="261FAC7B" w:rsidR="00AD7942" w:rsidRDefault="00AD7942" w:rsidP="00AD7942">
      <w:pPr>
        <w:jc w:val="both"/>
        <w:rPr>
          <w:iCs/>
        </w:rPr>
      </w:pPr>
      <w:r w:rsidRPr="00AD7942">
        <w:rPr>
          <w:i/>
          <w:iCs/>
        </w:rPr>
        <w:t xml:space="preserve">Hachette Filipacchi </w:t>
      </w:r>
      <w:proofErr w:type="spellStart"/>
      <w:r w:rsidRPr="00AD7942">
        <w:rPr>
          <w:i/>
          <w:iCs/>
        </w:rPr>
        <w:t>Associés</w:t>
      </w:r>
      <w:proofErr w:type="spellEnd"/>
      <w:r w:rsidRPr="00AD7942">
        <w:rPr>
          <w:i/>
          <w:iCs/>
        </w:rPr>
        <w:t xml:space="preserve"> (</w:t>
      </w:r>
      <w:r w:rsidRPr="00AD7942">
        <w:rPr>
          <w:iCs/>
        </w:rPr>
        <w:t>ICI PARIS</w:t>
      </w:r>
      <w:r>
        <w:rPr>
          <w:i/>
          <w:iCs/>
        </w:rPr>
        <w:t>) v</w:t>
      </w:r>
      <w:r w:rsidRPr="00AD7942">
        <w:rPr>
          <w:i/>
          <w:iCs/>
        </w:rPr>
        <w:t>. France</w:t>
      </w:r>
      <w:r w:rsidRPr="00AD7942">
        <w:rPr>
          <w:iCs/>
        </w:rPr>
        <w:t xml:space="preserve">, </w:t>
      </w:r>
      <w:r>
        <w:rPr>
          <w:iCs/>
        </w:rPr>
        <w:t xml:space="preserve">App. </w:t>
      </w:r>
      <w:r w:rsidRPr="00AD7942">
        <w:rPr>
          <w:iCs/>
        </w:rPr>
        <w:t xml:space="preserve">no 12268/03 </w:t>
      </w:r>
      <w:r>
        <w:rPr>
          <w:iCs/>
        </w:rPr>
        <w:t>(2009)</w:t>
      </w:r>
    </w:p>
    <w:p w14:paraId="7F0CA9E1" w14:textId="77F661D3" w:rsidR="00AD7942" w:rsidRDefault="00AD7942" w:rsidP="00AD7942">
      <w:pPr>
        <w:jc w:val="both"/>
        <w:rPr>
          <w:iCs/>
        </w:rPr>
      </w:pPr>
      <w:proofErr w:type="spellStart"/>
      <w:r>
        <w:rPr>
          <w:i/>
          <w:iCs/>
        </w:rPr>
        <w:t>Timciuc</w:t>
      </w:r>
      <w:proofErr w:type="spellEnd"/>
      <w:r>
        <w:rPr>
          <w:i/>
          <w:iCs/>
        </w:rPr>
        <w:t xml:space="preserve"> v</w:t>
      </w:r>
      <w:r w:rsidRPr="00AD7942">
        <w:rPr>
          <w:i/>
          <w:iCs/>
        </w:rPr>
        <w:t xml:space="preserve">. </w:t>
      </w:r>
      <w:r w:rsidR="007A6151" w:rsidRPr="00AD7942">
        <w:rPr>
          <w:i/>
          <w:iCs/>
        </w:rPr>
        <w:t>Romania</w:t>
      </w:r>
      <w:r w:rsidRPr="00AD7942">
        <w:rPr>
          <w:i/>
          <w:iCs/>
        </w:rPr>
        <w:t xml:space="preserve"> </w:t>
      </w:r>
      <w:r>
        <w:rPr>
          <w:iCs/>
        </w:rPr>
        <w:t>(</w:t>
      </w:r>
      <w:proofErr w:type="spellStart"/>
      <w:r>
        <w:rPr>
          <w:iCs/>
        </w:rPr>
        <w:t>de</w:t>
      </w:r>
      <w:r w:rsidRPr="00AD7942">
        <w:rPr>
          <w:iCs/>
        </w:rPr>
        <w:t>c.</w:t>
      </w:r>
      <w:proofErr w:type="spellEnd"/>
      <w:r w:rsidRPr="00AD7942">
        <w:rPr>
          <w:iCs/>
        </w:rPr>
        <w:t>),</w:t>
      </w:r>
      <w:r>
        <w:rPr>
          <w:iCs/>
        </w:rPr>
        <w:t xml:space="preserve"> App.</w:t>
      </w:r>
      <w:r w:rsidRPr="00AD7942">
        <w:rPr>
          <w:iCs/>
        </w:rPr>
        <w:t xml:space="preserve"> no 28999/03 </w:t>
      </w:r>
      <w:r>
        <w:rPr>
          <w:iCs/>
        </w:rPr>
        <w:t>(2010)</w:t>
      </w:r>
    </w:p>
    <w:p w14:paraId="01B06634" w14:textId="4EDE120E" w:rsidR="00AD7942" w:rsidRDefault="00AD7942" w:rsidP="00AD7942">
      <w:pPr>
        <w:jc w:val="both"/>
        <w:rPr>
          <w:iCs/>
        </w:rPr>
      </w:pPr>
      <w:proofErr w:type="spellStart"/>
      <w:r>
        <w:rPr>
          <w:i/>
          <w:iCs/>
        </w:rPr>
        <w:lastRenderedPageBreak/>
        <w:t>Palomo</w:t>
      </w:r>
      <w:proofErr w:type="spellEnd"/>
      <w:r>
        <w:rPr>
          <w:i/>
          <w:iCs/>
        </w:rPr>
        <w:t xml:space="preserve"> Sánchez and al v</w:t>
      </w:r>
      <w:r w:rsidR="007A6151">
        <w:rPr>
          <w:i/>
          <w:iCs/>
        </w:rPr>
        <w:t>. Spain</w:t>
      </w:r>
      <w:r w:rsidRPr="00AD7942">
        <w:rPr>
          <w:i/>
          <w:iCs/>
        </w:rPr>
        <w:t xml:space="preserve"> </w:t>
      </w:r>
      <w:r w:rsidRPr="00AD7942">
        <w:rPr>
          <w:iCs/>
        </w:rPr>
        <w:t xml:space="preserve">[GC], </w:t>
      </w:r>
      <w:r>
        <w:rPr>
          <w:iCs/>
        </w:rPr>
        <w:t xml:space="preserve">App. </w:t>
      </w:r>
      <w:proofErr w:type="spellStart"/>
      <w:r w:rsidRPr="00AD7942">
        <w:rPr>
          <w:iCs/>
        </w:rPr>
        <w:t>nos</w:t>
      </w:r>
      <w:proofErr w:type="spellEnd"/>
      <w:r w:rsidRPr="00AD7942">
        <w:rPr>
          <w:iCs/>
        </w:rPr>
        <w:t xml:space="preserve"> </w:t>
      </w:r>
      <w:r>
        <w:rPr>
          <w:iCs/>
        </w:rPr>
        <w:t>28955/06, 28957/06, 28959/06 and</w:t>
      </w:r>
      <w:r w:rsidRPr="00AD7942">
        <w:rPr>
          <w:iCs/>
        </w:rPr>
        <w:t xml:space="preserve"> 28964/06 </w:t>
      </w:r>
      <w:r>
        <w:rPr>
          <w:iCs/>
        </w:rPr>
        <w:t>(2011)</w:t>
      </w:r>
    </w:p>
    <w:p w14:paraId="10EEA2B7" w14:textId="70934845" w:rsidR="00AD7942" w:rsidRDefault="00AD7942" w:rsidP="00AD7942">
      <w:pPr>
        <w:jc w:val="both"/>
        <w:rPr>
          <w:iCs/>
        </w:rPr>
      </w:pPr>
      <w:r>
        <w:rPr>
          <w:i/>
          <w:iCs/>
        </w:rPr>
        <w:t>Appleby and al v.</w:t>
      </w:r>
      <w:r w:rsidRPr="00AD7942">
        <w:rPr>
          <w:i/>
          <w:iCs/>
        </w:rPr>
        <w:t xml:space="preserve"> </w:t>
      </w:r>
      <w:r w:rsidR="007A6151">
        <w:rPr>
          <w:i/>
          <w:iCs/>
        </w:rPr>
        <w:t>United Kingdom</w:t>
      </w:r>
      <w:r w:rsidRPr="00AD7942">
        <w:rPr>
          <w:iCs/>
        </w:rPr>
        <w:t xml:space="preserve">, </w:t>
      </w:r>
      <w:r>
        <w:rPr>
          <w:iCs/>
        </w:rPr>
        <w:t xml:space="preserve">App. </w:t>
      </w:r>
      <w:r w:rsidRPr="00AD7942">
        <w:rPr>
          <w:iCs/>
        </w:rPr>
        <w:t>no 44306/98</w:t>
      </w:r>
      <w:r>
        <w:rPr>
          <w:iCs/>
        </w:rPr>
        <w:t xml:space="preserve"> (2003)</w:t>
      </w:r>
    </w:p>
    <w:p w14:paraId="598FEA5C" w14:textId="11467E6A" w:rsidR="00AD7942" w:rsidRDefault="00AD7942" w:rsidP="00AD7942">
      <w:pPr>
        <w:jc w:val="both"/>
        <w:rPr>
          <w:iCs/>
        </w:rPr>
      </w:pPr>
      <w:proofErr w:type="spellStart"/>
      <w:r>
        <w:rPr>
          <w:i/>
          <w:iCs/>
        </w:rPr>
        <w:t>Kulis</w:t>
      </w:r>
      <w:proofErr w:type="spellEnd"/>
      <w:r>
        <w:rPr>
          <w:i/>
          <w:iCs/>
        </w:rPr>
        <w:t>́ v.</w:t>
      </w:r>
      <w:r w:rsidRPr="00AD7942">
        <w:rPr>
          <w:i/>
          <w:iCs/>
        </w:rPr>
        <w:t xml:space="preserve"> </w:t>
      </w:r>
      <w:proofErr w:type="spellStart"/>
      <w:r w:rsidRPr="00AD7942">
        <w:rPr>
          <w:i/>
          <w:iCs/>
        </w:rPr>
        <w:t>Polo</w:t>
      </w:r>
      <w:r w:rsidR="007A6151">
        <w:rPr>
          <w:i/>
          <w:iCs/>
        </w:rPr>
        <w:t>ny</w:t>
      </w:r>
      <w:proofErr w:type="spellEnd"/>
      <w:r w:rsidRPr="00AD7942">
        <w:rPr>
          <w:iCs/>
        </w:rPr>
        <w:t xml:space="preserve">, </w:t>
      </w:r>
      <w:r>
        <w:rPr>
          <w:iCs/>
        </w:rPr>
        <w:t xml:space="preserve">App. </w:t>
      </w:r>
      <w:r w:rsidRPr="00AD7942">
        <w:rPr>
          <w:iCs/>
        </w:rPr>
        <w:t xml:space="preserve">no 15601/02 </w:t>
      </w:r>
      <w:r>
        <w:rPr>
          <w:iCs/>
        </w:rPr>
        <w:t>(2008)</w:t>
      </w:r>
    </w:p>
    <w:p w14:paraId="34127AC6" w14:textId="22AA60AA" w:rsidR="00AD7942" w:rsidRDefault="00AD7942" w:rsidP="00AD7942">
      <w:pPr>
        <w:jc w:val="both"/>
        <w:rPr>
          <w:iCs/>
        </w:rPr>
      </w:pPr>
      <w:proofErr w:type="spellStart"/>
      <w:r>
        <w:rPr>
          <w:i/>
          <w:iCs/>
        </w:rPr>
        <w:t>Tuşalp</w:t>
      </w:r>
      <w:proofErr w:type="spellEnd"/>
      <w:r>
        <w:rPr>
          <w:i/>
          <w:iCs/>
        </w:rPr>
        <w:t xml:space="preserve"> v</w:t>
      </w:r>
      <w:r w:rsidRPr="00AD7942">
        <w:rPr>
          <w:i/>
          <w:iCs/>
        </w:rPr>
        <w:t>. Tur</w:t>
      </w:r>
      <w:r>
        <w:rPr>
          <w:i/>
          <w:iCs/>
        </w:rPr>
        <w:t>key</w:t>
      </w:r>
      <w:r w:rsidRPr="00AD7942">
        <w:rPr>
          <w:iCs/>
        </w:rPr>
        <w:t xml:space="preserve">, </w:t>
      </w:r>
      <w:r>
        <w:rPr>
          <w:iCs/>
        </w:rPr>
        <w:t xml:space="preserve">App. </w:t>
      </w:r>
      <w:proofErr w:type="spellStart"/>
      <w:r w:rsidRPr="00AD7942">
        <w:rPr>
          <w:iCs/>
        </w:rPr>
        <w:t>nos</w:t>
      </w:r>
      <w:proofErr w:type="spellEnd"/>
      <w:r w:rsidRPr="00AD7942">
        <w:rPr>
          <w:iCs/>
        </w:rPr>
        <w:t xml:space="preserve"> </w:t>
      </w:r>
      <w:r>
        <w:rPr>
          <w:iCs/>
        </w:rPr>
        <w:t>32131/08 and</w:t>
      </w:r>
      <w:r w:rsidRPr="00AD7942">
        <w:rPr>
          <w:iCs/>
        </w:rPr>
        <w:t xml:space="preserve"> 41617/08 </w:t>
      </w:r>
      <w:r>
        <w:rPr>
          <w:iCs/>
        </w:rPr>
        <w:t>(2012)</w:t>
      </w:r>
    </w:p>
    <w:p w14:paraId="3D6ABE98" w14:textId="77777777" w:rsidR="00AD7942" w:rsidRDefault="00AD7942" w:rsidP="00AD7942">
      <w:pPr>
        <w:jc w:val="both"/>
        <w:rPr>
          <w:iCs/>
        </w:rPr>
      </w:pPr>
      <w:r>
        <w:rPr>
          <w:i/>
          <w:iCs/>
        </w:rPr>
        <w:t>Zana v.</w:t>
      </w:r>
      <w:r w:rsidRPr="00AD7942">
        <w:rPr>
          <w:i/>
          <w:iCs/>
        </w:rPr>
        <w:t xml:space="preserve"> Tur</w:t>
      </w:r>
      <w:r>
        <w:rPr>
          <w:i/>
          <w:iCs/>
        </w:rPr>
        <w:t>key</w:t>
      </w:r>
      <w:r w:rsidRPr="00AD7942">
        <w:rPr>
          <w:iCs/>
        </w:rPr>
        <w:t xml:space="preserve">, </w:t>
      </w:r>
      <w:r>
        <w:rPr>
          <w:iCs/>
        </w:rPr>
        <w:t>(</w:t>
      </w:r>
      <w:r w:rsidRPr="00AD7942">
        <w:rPr>
          <w:iCs/>
        </w:rPr>
        <w:t>1997</w:t>
      </w:r>
      <w:r>
        <w:rPr>
          <w:iCs/>
        </w:rPr>
        <w:t>)</w:t>
      </w:r>
      <w:r w:rsidRPr="00AD7942">
        <w:rPr>
          <w:iCs/>
        </w:rPr>
        <w:t xml:space="preserve">, </w:t>
      </w:r>
    </w:p>
    <w:p w14:paraId="7DF2C978" w14:textId="77777777" w:rsidR="00AD7942" w:rsidRDefault="00AD7942" w:rsidP="00AD7942">
      <w:pPr>
        <w:jc w:val="both"/>
        <w:rPr>
          <w:iCs/>
        </w:rPr>
      </w:pPr>
      <w:proofErr w:type="spellStart"/>
      <w:r>
        <w:rPr>
          <w:i/>
          <w:iCs/>
        </w:rPr>
        <w:t>Soulas</w:t>
      </w:r>
      <w:proofErr w:type="spellEnd"/>
      <w:r>
        <w:rPr>
          <w:i/>
          <w:iCs/>
        </w:rPr>
        <w:t xml:space="preserve"> and al. v.</w:t>
      </w:r>
      <w:r w:rsidRPr="00AD7942">
        <w:rPr>
          <w:i/>
          <w:iCs/>
        </w:rPr>
        <w:t xml:space="preserve"> France</w:t>
      </w:r>
      <w:r w:rsidRPr="00AD7942">
        <w:rPr>
          <w:iCs/>
        </w:rPr>
        <w:t xml:space="preserve">, </w:t>
      </w:r>
      <w:r>
        <w:rPr>
          <w:iCs/>
        </w:rPr>
        <w:t xml:space="preserve">App. </w:t>
      </w:r>
      <w:r w:rsidRPr="00AD7942">
        <w:rPr>
          <w:iCs/>
        </w:rPr>
        <w:t xml:space="preserve">no </w:t>
      </w:r>
      <w:r>
        <w:rPr>
          <w:iCs/>
        </w:rPr>
        <w:t>15948/03 (</w:t>
      </w:r>
      <w:r w:rsidRPr="00AD7942">
        <w:rPr>
          <w:iCs/>
        </w:rPr>
        <w:t>2008</w:t>
      </w:r>
      <w:r>
        <w:rPr>
          <w:iCs/>
        </w:rPr>
        <w:t xml:space="preserve">) </w:t>
      </w:r>
    </w:p>
    <w:p w14:paraId="3FEEFCF8" w14:textId="77777777" w:rsidR="00AD7942" w:rsidRDefault="00AD7942" w:rsidP="00AD7942">
      <w:pPr>
        <w:jc w:val="both"/>
        <w:rPr>
          <w:iCs/>
        </w:rPr>
      </w:pPr>
      <w:proofErr w:type="spellStart"/>
      <w:r>
        <w:rPr>
          <w:i/>
          <w:iCs/>
        </w:rPr>
        <w:t>Balsyte</w:t>
      </w:r>
      <w:proofErr w:type="spellEnd"/>
      <w:r>
        <w:rPr>
          <w:i/>
          <w:iCs/>
        </w:rPr>
        <w:t xml:space="preserve">̇- </w:t>
      </w:r>
      <w:proofErr w:type="spellStart"/>
      <w:r>
        <w:rPr>
          <w:i/>
          <w:iCs/>
        </w:rPr>
        <w:t>Lideikiene</w:t>
      </w:r>
      <w:proofErr w:type="spellEnd"/>
      <w:r>
        <w:rPr>
          <w:i/>
          <w:iCs/>
        </w:rPr>
        <w:t>̇ v</w:t>
      </w:r>
      <w:r w:rsidRPr="00AD7942">
        <w:rPr>
          <w:i/>
          <w:iCs/>
        </w:rPr>
        <w:t>. Lithuania</w:t>
      </w:r>
      <w:r w:rsidRPr="00AD7942">
        <w:rPr>
          <w:iCs/>
        </w:rPr>
        <w:t xml:space="preserve">, </w:t>
      </w:r>
      <w:r>
        <w:rPr>
          <w:iCs/>
        </w:rPr>
        <w:t xml:space="preserve">App. </w:t>
      </w:r>
      <w:r w:rsidRPr="00AD7942">
        <w:rPr>
          <w:iCs/>
        </w:rPr>
        <w:t xml:space="preserve">no </w:t>
      </w:r>
      <w:r>
        <w:rPr>
          <w:iCs/>
        </w:rPr>
        <w:t>72596/01 (</w:t>
      </w:r>
      <w:r w:rsidRPr="00AD7942">
        <w:rPr>
          <w:iCs/>
        </w:rPr>
        <w:t>2008</w:t>
      </w:r>
      <w:r>
        <w:rPr>
          <w:iCs/>
        </w:rPr>
        <w:t>)</w:t>
      </w:r>
    </w:p>
    <w:p w14:paraId="40D09853" w14:textId="77777777" w:rsidR="00AD7942" w:rsidRDefault="00AD7942" w:rsidP="00AD7942">
      <w:pPr>
        <w:jc w:val="both"/>
        <w:rPr>
          <w:iCs/>
        </w:rPr>
      </w:pPr>
      <w:proofErr w:type="spellStart"/>
      <w:r>
        <w:rPr>
          <w:i/>
          <w:iCs/>
        </w:rPr>
        <w:t>Özgür</w:t>
      </w:r>
      <w:proofErr w:type="spellEnd"/>
      <w:r>
        <w:rPr>
          <w:i/>
          <w:iCs/>
        </w:rPr>
        <w:t xml:space="preserve"> </w:t>
      </w:r>
      <w:proofErr w:type="spellStart"/>
      <w:r>
        <w:rPr>
          <w:i/>
          <w:iCs/>
        </w:rPr>
        <w:t>Gündem</w:t>
      </w:r>
      <w:proofErr w:type="spellEnd"/>
      <w:r>
        <w:rPr>
          <w:i/>
          <w:iCs/>
        </w:rPr>
        <w:t xml:space="preserve"> v. Turkey</w:t>
      </w:r>
      <w:r w:rsidRPr="00AD7942">
        <w:rPr>
          <w:iCs/>
        </w:rPr>
        <w:t>, App</w:t>
      </w:r>
      <w:r>
        <w:rPr>
          <w:i/>
          <w:iCs/>
        </w:rPr>
        <w:t xml:space="preserve">. </w:t>
      </w:r>
      <w:r w:rsidRPr="00AD7942">
        <w:rPr>
          <w:iCs/>
        </w:rPr>
        <w:t xml:space="preserve">no </w:t>
      </w:r>
      <w:r>
        <w:rPr>
          <w:iCs/>
        </w:rPr>
        <w:t>23144/93 (2000)</w:t>
      </w:r>
    </w:p>
    <w:p w14:paraId="127222F4" w14:textId="77777777" w:rsidR="00AD7942" w:rsidRDefault="00AD7942" w:rsidP="00AD7942">
      <w:pPr>
        <w:jc w:val="both"/>
        <w:rPr>
          <w:iCs/>
        </w:rPr>
      </w:pPr>
      <w:r w:rsidRPr="00AD7942">
        <w:rPr>
          <w:iCs/>
        </w:rPr>
        <w:t xml:space="preserve"> </w:t>
      </w:r>
      <w:proofErr w:type="spellStart"/>
      <w:r>
        <w:rPr>
          <w:i/>
          <w:iCs/>
        </w:rPr>
        <w:t>Féret</w:t>
      </w:r>
      <w:proofErr w:type="spellEnd"/>
      <w:r>
        <w:rPr>
          <w:i/>
          <w:iCs/>
        </w:rPr>
        <w:t xml:space="preserve"> v</w:t>
      </w:r>
      <w:r w:rsidRPr="00AD7942">
        <w:rPr>
          <w:i/>
          <w:iCs/>
        </w:rPr>
        <w:t>. Belg</w:t>
      </w:r>
      <w:r>
        <w:rPr>
          <w:i/>
          <w:iCs/>
        </w:rPr>
        <w:t xml:space="preserve">ium, </w:t>
      </w:r>
      <w:r w:rsidRPr="00AD7942">
        <w:rPr>
          <w:iCs/>
        </w:rPr>
        <w:t xml:space="preserve">App. no </w:t>
      </w:r>
      <w:r>
        <w:rPr>
          <w:iCs/>
        </w:rPr>
        <w:t>15615/07 (</w:t>
      </w:r>
      <w:r w:rsidRPr="00AD7942">
        <w:rPr>
          <w:iCs/>
        </w:rPr>
        <w:t>2009</w:t>
      </w:r>
      <w:r>
        <w:rPr>
          <w:iCs/>
        </w:rPr>
        <w:t xml:space="preserve">) </w:t>
      </w:r>
    </w:p>
    <w:p w14:paraId="17288719" w14:textId="1EE1B1FD" w:rsidR="00AD7942" w:rsidRDefault="00AD7942" w:rsidP="00AD7942">
      <w:pPr>
        <w:jc w:val="both"/>
        <w:rPr>
          <w:iCs/>
        </w:rPr>
      </w:pPr>
      <w:r w:rsidRPr="00AD7942">
        <w:rPr>
          <w:iCs/>
        </w:rPr>
        <w:t xml:space="preserve"> </w:t>
      </w:r>
      <w:proofErr w:type="spellStart"/>
      <w:r>
        <w:rPr>
          <w:i/>
          <w:iCs/>
        </w:rPr>
        <w:t>Fáber</w:t>
      </w:r>
      <w:proofErr w:type="spellEnd"/>
      <w:r>
        <w:rPr>
          <w:i/>
          <w:iCs/>
        </w:rPr>
        <w:t xml:space="preserve"> v</w:t>
      </w:r>
      <w:r w:rsidR="007A6151">
        <w:rPr>
          <w:i/>
          <w:iCs/>
        </w:rPr>
        <w:t>. Hungary</w:t>
      </w:r>
      <w:r w:rsidRPr="00AD7942">
        <w:rPr>
          <w:iCs/>
        </w:rPr>
        <w:t xml:space="preserve"> </w:t>
      </w:r>
      <w:r>
        <w:rPr>
          <w:iCs/>
        </w:rPr>
        <w:t xml:space="preserve">App. </w:t>
      </w:r>
      <w:r w:rsidRPr="00AD7942">
        <w:rPr>
          <w:iCs/>
        </w:rPr>
        <w:t xml:space="preserve">no </w:t>
      </w:r>
      <w:r>
        <w:rPr>
          <w:iCs/>
        </w:rPr>
        <w:t>40721/08 (</w:t>
      </w:r>
      <w:r w:rsidRPr="00AD7942">
        <w:rPr>
          <w:iCs/>
        </w:rPr>
        <w:t xml:space="preserve">2012) </w:t>
      </w:r>
    </w:p>
    <w:p w14:paraId="422F2FCB" w14:textId="77777777" w:rsidR="007A6151" w:rsidRDefault="007A6151" w:rsidP="007A6151">
      <w:pPr>
        <w:jc w:val="both"/>
        <w:rPr>
          <w:iCs/>
        </w:rPr>
      </w:pPr>
      <w:proofErr w:type="spellStart"/>
      <w:r w:rsidRPr="007A6151">
        <w:rPr>
          <w:i/>
          <w:iCs/>
        </w:rPr>
        <w:t>Karat</w:t>
      </w:r>
      <w:r>
        <w:rPr>
          <w:i/>
          <w:iCs/>
        </w:rPr>
        <w:t>as</w:t>
      </w:r>
      <w:proofErr w:type="spellEnd"/>
      <w:r>
        <w:rPr>
          <w:i/>
          <w:iCs/>
        </w:rPr>
        <w:t>̧ v. Turkey</w:t>
      </w:r>
      <w:r w:rsidRPr="007A6151">
        <w:rPr>
          <w:i/>
          <w:iCs/>
        </w:rPr>
        <w:t xml:space="preserve"> </w:t>
      </w:r>
      <w:r w:rsidRPr="007A6151">
        <w:rPr>
          <w:iCs/>
        </w:rPr>
        <w:t xml:space="preserve">([GC], </w:t>
      </w:r>
      <w:r>
        <w:rPr>
          <w:iCs/>
        </w:rPr>
        <w:t xml:space="preserve">App. </w:t>
      </w:r>
      <w:r w:rsidRPr="007A6151">
        <w:rPr>
          <w:iCs/>
        </w:rPr>
        <w:t xml:space="preserve">no 23168/94 </w:t>
      </w:r>
      <w:r>
        <w:rPr>
          <w:iCs/>
        </w:rPr>
        <w:t>(</w:t>
      </w:r>
      <w:r w:rsidRPr="007A6151">
        <w:rPr>
          <w:iCs/>
        </w:rPr>
        <w:t>1999</w:t>
      </w:r>
      <w:r>
        <w:rPr>
          <w:iCs/>
        </w:rPr>
        <w:t>)</w:t>
      </w:r>
    </w:p>
    <w:p w14:paraId="0E7FB838" w14:textId="008A4069" w:rsidR="007A6151" w:rsidRDefault="007A6151" w:rsidP="007A6151">
      <w:pPr>
        <w:jc w:val="both"/>
        <w:rPr>
          <w:iCs/>
        </w:rPr>
      </w:pPr>
      <w:proofErr w:type="spellStart"/>
      <w:r>
        <w:rPr>
          <w:i/>
          <w:iCs/>
        </w:rPr>
        <w:t>Vejdeland</w:t>
      </w:r>
      <w:proofErr w:type="spellEnd"/>
      <w:r>
        <w:rPr>
          <w:i/>
          <w:iCs/>
        </w:rPr>
        <w:t xml:space="preserve"> and al. v</w:t>
      </w:r>
      <w:r w:rsidRPr="007A6151">
        <w:rPr>
          <w:i/>
          <w:iCs/>
        </w:rPr>
        <w:t>. Suede</w:t>
      </w:r>
      <w:r w:rsidRPr="007A6151">
        <w:rPr>
          <w:iCs/>
        </w:rPr>
        <w:t xml:space="preserve">, </w:t>
      </w:r>
      <w:r>
        <w:rPr>
          <w:iCs/>
        </w:rPr>
        <w:t xml:space="preserve">App. </w:t>
      </w:r>
      <w:r w:rsidRPr="007A6151">
        <w:rPr>
          <w:iCs/>
        </w:rPr>
        <w:t xml:space="preserve">no </w:t>
      </w:r>
      <w:r>
        <w:rPr>
          <w:iCs/>
        </w:rPr>
        <w:t>1813/07 (</w:t>
      </w:r>
      <w:r w:rsidRPr="007A6151">
        <w:rPr>
          <w:iCs/>
        </w:rPr>
        <w:t>2012</w:t>
      </w:r>
      <w:r>
        <w:rPr>
          <w:iCs/>
        </w:rPr>
        <w:t>)</w:t>
      </w:r>
      <w:r w:rsidRPr="007A6151">
        <w:rPr>
          <w:iCs/>
        </w:rPr>
        <w:t xml:space="preserve"> </w:t>
      </w:r>
    </w:p>
    <w:p w14:paraId="30B55F4C" w14:textId="3915A699" w:rsidR="007A6151" w:rsidRDefault="007A6151" w:rsidP="007A6151">
      <w:pPr>
        <w:jc w:val="both"/>
        <w:rPr>
          <w:iCs/>
        </w:rPr>
      </w:pPr>
      <w:proofErr w:type="spellStart"/>
      <w:r>
        <w:rPr>
          <w:i/>
          <w:iCs/>
        </w:rPr>
        <w:t>Perinçek</w:t>
      </w:r>
      <w:proofErr w:type="spellEnd"/>
      <w:r>
        <w:rPr>
          <w:i/>
          <w:iCs/>
        </w:rPr>
        <w:t xml:space="preserve"> v. Switzerland</w:t>
      </w:r>
      <w:r w:rsidRPr="007A6151">
        <w:rPr>
          <w:i/>
          <w:iCs/>
        </w:rPr>
        <w:t xml:space="preserve"> </w:t>
      </w:r>
      <w:r w:rsidRPr="007A6151">
        <w:rPr>
          <w:iCs/>
        </w:rPr>
        <w:t xml:space="preserve">[GC], </w:t>
      </w:r>
      <w:r>
        <w:rPr>
          <w:iCs/>
        </w:rPr>
        <w:t xml:space="preserve">App. </w:t>
      </w:r>
      <w:r w:rsidRPr="007A6151">
        <w:rPr>
          <w:iCs/>
        </w:rPr>
        <w:t xml:space="preserve">no </w:t>
      </w:r>
      <w:r>
        <w:rPr>
          <w:iCs/>
        </w:rPr>
        <w:t>27510/08, (2015)</w:t>
      </w:r>
    </w:p>
    <w:p w14:paraId="534E8CE9" w14:textId="445B959F" w:rsidR="007A6151" w:rsidRDefault="007A6151" w:rsidP="007A6151">
      <w:pPr>
        <w:jc w:val="both"/>
        <w:rPr>
          <w:iCs/>
        </w:rPr>
      </w:pPr>
      <w:proofErr w:type="spellStart"/>
      <w:r w:rsidRPr="007A6151">
        <w:rPr>
          <w:i/>
          <w:iCs/>
        </w:rPr>
        <w:t>Sü</w:t>
      </w:r>
      <w:r>
        <w:rPr>
          <w:i/>
          <w:iCs/>
        </w:rPr>
        <w:t>rek</w:t>
      </w:r>
      <w:proofErr w:type="spellEnd"/>
      <w:r>
        <w:rPr>
          <w:i/>
          <w:iCs/>
        </w:rPr>
        <w:t xml:space="preserve"> v</w:t>
      </w:r>
      <w:r w:rsidRPr="007A6151">
        <w:rPr>
          <w:i/>
          <w:iCs/>
        </w:rPr>
        <w:t>. Tur</w:t>
      </w:r>
      <w:r>
        <w:rPr>
          <w:i/>
          <w:iCs/>
        </w:rPr>
        <w:t>key</w:t>
      </w:r>
      <w:r w:rsidRPr="007A6151">
        <w:rPr>
          <w:i/>
          <w:iCs/>
        </w:rPr>
        <w:t xml:space="preserve"> (no 1) </w:t>
      </w:r>
      <w:r w:rsidRPr="007A6151">
        <w:rPr>
          <w:iCs/>
        </w:rPr>
        <w:t xml:space="preserve">[GC], </w:t>
      </w:r>
      <w:r>
        <w:rPr>
          <w:iCs/>
        </w:rPr>
        <w:t xml:space="preserve">App. </w:t>
      </w:r>
      <w:r w:rsidRPr="007A6151">
        <w:rPr>
          <w:iCs/>
        </w:rPr>
        <w:t>no 26682/95</w:t>
      </w:r>
      <w:r>
        <w:rPr>
          <w:iCs/>
        </w:rPr>
        <w:t>, (1999)</w:t>
      </w:r>
    </w:p>
    <w:p w14:paraId="7F487665" w14:textId="6B626096" w:rsidR="007A6151" w:rsidRPr="007A6151" w:rsidRDefault="007A6151" w:rsidP="007A6151">
      <w:pPr>
        <w:jc w:val="both"/>
        <w:rPr>
          <w:iCs/>
        </w:rPr>
      </w:pPr>
      <w:r w:rsidRPr="007A6151">
        <w:rPr>
          <w:i/>
          <w:iCs/>
        </w:rPr>
        <w:t>Dink c. Tur</w:t>
      </w:r>
      <w:r>
        <w:rPr>
          <w:i/>
          <w:iCs/>
        </w:rPr>
        <w:t>key</w:t>
      </w:r>
      <w:r w:rsidRPr="007A6151">
        <w:rPr>
          <w:iCs/>
        </w:rPr>
        <w:t xml:space="preserve">, App. nos. 2668/07 and 4 others (2010) </w:t>
      </w:r>
    </w:p>
    <w:p w14:paraId="584317EC" w14:textId="5A68DA50" w:rsidR="007A6151" w:rsidRDefault="007A6151" w:rsidP="007A6151">
      <w:pPr>
        <w:jc w:val="both"/>
        <w:rPr>
          <w:iCs/>
        </w:rPr>
      </w:pPr>
      <w:proofErr w:type="spellStart"/>
      <w:r w:rsidRPr="007A6151">
        <w:rPr>
          <w:i/>
          <w:iCs/>
        </w:rPr>
        <w:t>Ülke</w:t>
      </w:r>
      <w:proofErr w:type="spellEnd"/>
      <w:r w:rsidRPr="007A6151">
        <w:rPr>
          <w:i/>
          <w:iCs/>
        </w:rPr>
        <w:t xml:space="preserve"> c. Turkey, </w:t>
      </w:r>
      <w:r w:rsidRPr="007A6151">
        <w:rPr>
          <w:iCs/>
        </w:rPr>
        <w:t xml:space="preserve">App. no 39437/98 </w:t>
      </w:r>
      <w:r>
        <w:rPr>
          <w:iCs/>
        </w:rPr>
        <w:t>(2006)</w:t>
      </w:r>
    </w:p>
    <w:p w14:paraId="556E17CF" w14:textId="355A2DD4" w:rsidR="007A6151" w:rsidRPr="007A6151" w:rsidRDefault="007A6151" w:rsidP="007A6151">
      <w:pPr>
        <w:jc w:val="both"/>
        <w:rPr>
          <w:iCs/>
        </w:rPr>
      </w:pPr>
      <w:r>
        <w:rPr>
          <w:i/>
          <w:iCs/>
        </w:rPr>
        <w:t>Mater v. Turkey</w:t>
      </w:r>
      <w:r w:rsidRPr="007A6151">
        <w:rPr>
          <w:iCs/>
        </w:rPr>
        <w:t xml:space="preserve">, </w:t>
      </w:r>
      <w:r>
        <w:rPr>
          <w:iCs/>
        </w:rPr>
        <w:t xml:space="preserve">App. </w:t>
      </w:r>
      <w:r w:rsidRPr="007A6151">
        <w:rPr>
          <w:iCs/>
        </w:rPr>
        <w:t xml:space="preserve">no 54997/08 </w:t>
      </w:r>
      <w:r>
        <w:rPr>
          <w:iCs/>
        </w:rPr>
        <w:t>(2013)</w:t>
      </w:r>
    </w:p>
    <w:p w14:paraId="00CEBFEA" w14:textId="57C19FEB" w:rsidR="00605BBD" w:rsidRPr="007A6151" w:rsidRDefault="00605BBD" w:rsidP="00C5422F">
      <w:pPr>
        <w:jc w:val="both"/>
        <w:rPr>
          <w:iCs/>
        </w:rPr>
      </w:pPr>
    </w:p>
    <w:p w14:paraId="04E71F6D" w14:textId="77777777" w:rsidR="00C5422F" w:rsidRDefault="00C5422F" w:rsidP="00C5422F">
      <w:pPr>
        <w:jc w:val="both"/>
        <w:rPr>
          <w:b/>
          <w:lang w:val="en-GB"/>
        </w:rPr>
      </w:pPr>
    </w:p>
    <w:p w14:paraId="31AD3A51" w14:textId="77777777" w:rsidR="00C5422F" w:rsidRPr="00C5422F" w:rsidRDefault="00C5422F" w:rsidP="00C5422F">
      <w:pPr>
        <w:jc w:val="both"/>
        <w:rPr>
          <w:b/>
        </w:rPr>
      </w:pPr>
      <w:r>
        <w:rPr>
          <w:rFonts w:eastAsia="Times New Roman" w:cs="Times New Roman"/>
          <w:b/>
          <w:color w:val="000000"/>
          <w:shd w:val="clear" w:color="auto" w:fill="FFFFFF"/>
          <w:lang w:val="en-GB"/>
        </w:rPr>
        <w:t xml:space="preserve">4. </w:t>
      </w:r>
      <w:r w:rsidRPr="00AA68FF">
        <w:rPr>
          <w:rFonts w:eastAsia="Times New Roman" w:cs="Times New Roman"/>
          <w:b/>
          <w:color w:val="000000"/>
          <w:shd w:val="clear" w:color="auto" w:fill="FFFFFF"/>
          <w:lang w:val="en-GB"/>
        </w:rPr>
        <w:t>Expands expression</w:t>
      </w:r>
    </w:p>
    <w:p w14:paraId="520C46B4" w14:textId="77777777" w:rsidR="007C3315" w:rsidRPr="00C80AFD" w:rsidRDefault="007C3315" w:rsidP="00777BD9">
      <w:pPr>
        <w:jc w:val="both"/>
      </w:pPr>
    </w:p>
    <w:p w14:paraId="3595972F" w14:textId="06FD8D3F" w:rsidR="00134D64" w:rsidRPr="00134D64" w:rsidRDefault="00E75F3D" w:rsidP="00134D64">
      <w:pPr>
        <w:jc w:val="both"/>
      </w:pPr>
      <w:r>
        <w:t>This case expands freedom of expression</w:t>
      </w:r>
      <w:r w:rsidR="00906440">
        <w:t xml:space="preserve"> by recognizing that the State must effectively protect those who express their opinions on controversial issues from verbal attacks that amounted to hate speech and incitement to violence. Even tough the Court examined the case under the right to respect for private life guaranteed by Article 8 of the Convention on account that the verbal attacks aimed at undermining the </w:t>
      </w:r>
      <w:r w:rsidR="00134D64">
        <w:t xml:space="preserve">dignity and </w:t>
      </w:r>
      <w:r w:rsidR="00906440">
        <w:t>reputation of the appl</w:t>
      </w:r>
      <w:r w:rsidR="00134D64">
        <w:t xml:space="preserve">icants, the judgment </w:t>
      </w:r>
      <w:r w:rsidR="00134D64" w:rsidRPr="00134D64">
        <w:t>eventually</w:t>
      </w:r>
      <w:r w:rsidR="00134D64">
        <w:t xml:space="preserve"> stren</w:t>
      </w:r>
      <w:r w:rsidR="0059454E">
        <w:t xml:space="preserve">gthens freedom of expression of political actors speaking out on </w:t>
      </w:r>
      <w:r w:rsidR="00134D64">
        <w:t xml:space="preserve">sensitive social issues. The judgment </w:t>
      </w:r>
      <w:r w:rsidR="0059454E">
        <w:t xml:space="preserve">also clearly </w:t>
      </w:r>
      <w:r w:rsidR="000D6026">
        <w:t>draws</w:t>
      </w:r>
      <w:r w:rsidR="0059454E">
        <w:t xml:space="preserve"> the </w:t>
      </w:r>
      <w:r w:rsidR="000D6026">
        <w:t>boundaries</w:t>
      </w:r>
      <w:r w:rsidR="0059454E">
        <w:t xml:space="preserve"> of freedom of press, </w:t>
      </w:r>
      <w:r w:rsidR="007A6151">
        <w:t xml:space="preserve">definitely </w:t>
      </w:r>
      <w:r w:rsidR="0059454E">
        <w:t>excluding</w:t>
      </w:r>
      <w:r w:rsidR="007A6151">
        <w:t xml:space="preserve"> </w:t>
      </w:r>
      <w:r w:rsidR="0059454E">
        <w:t>hate speech and incitement to violence from the scope of the freedom of expression.</w:t>
      </w:r>
    </w:p>
    <w:p w14:paraId="3C014FEB" w14:textId="674555B9" w:rsidR="007C3315" w:rsidRPr="00C5422F" w:rsidRDefault="007C3315" w:rsidP="00777BD9">
      <w:pPr>
        <w:jc w:val="both"/>
      </w:pPr>
    </w:p>
    <w:p w14:paraId="1963ACC3" w14:textId="77777777" w:rsidR="007C3315" w:rsidRPr="00C07317" w:rsidRDefault="007C3315" w:rsidP="00777BD9">
      <w:pPr>
        <w:jc w:val="both"/>
      </w:pPr>
    </w:p>
    <w:sectPr w:rsidR="007C3315" w:rsidRPr="00C07317" w:rsidSect="00B43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BA"/>
    <w:rsid w:val="00005609"/>
    <w:rsid w:val="000D6026"/>
    <w:rsid w:val="001075EA"/>
    <w:rsid w:val="00134D64"/>
    <w:rsid w:val="001F5602"/>
    <w:rsid w:val="00240AB7"/>
    <w:rsid w:val="00254A7B"/>
    <w:rsid w:val="002C366E"/>
    <w:rsid w:val="002C7A44"/>
    <w:rsid w:val="002E1B0B"/>
    <w:rsid w:val="003577A7"/>
    <w:rsid w:val="003A0DE3"/>
    <w:rsid w:val="003A4621"/>
    <w:rsid w:val="00426E4A"/>
    <w:rsid w:val="004D0FBA"/>
    <w:rsid w:val="0059454E"/>
    <w:rsid w:val="005D0B59"/>
    <w:rsid w:val="00605BBD"/>
    <w:rsid w:val="006135CB"/>
    <w:rsid w:val="00661657"/>
    <w:rsid w:val="00731EAA"/>
    <w:rsid w:val="007371BC"/>
    <w:rsid w:val="00765D97"/>
    <w:rsid w:val="00777BD9"/>
    <w:rsid w:val="007A6151"/>
    <w:rsid w:val="007C3315"/>
    <w:rsid w:val="00830017"/>
    <w:rsid w:val="00891594"/>
    <w:rsid w:val="008C66A6"/>
    <w:rsid w:val="008D44A4"/>
    <w:rsid w:val="008F5F13"/>
    <w:rsid w:val="00906440"/>
    <w:rsid w:val="0094637B"/>
    <w:rsid w:val="00A13F6E"/>
    <w:rsid w:val="00A54CB4"/>
    <w:rsid w:val="00AB36E2"/>
    <w:rsid w:val="00AD7942"/>
    <w:rsid w:val="00B43610"/>
    <w:rsid w:val="00B61445"/>
    <w:rsid w:val="00B67368"/>
    <w:rsid w:val="00BA15D2"/>
    <w:rsid w:val="00BD2212"/>
    <w:rsid w:val="00C07317"/>
    <w:rsid w:val="00C5422F"/>
    <w:rsid w:val="00C80AFD"/>
    <w:rsid w:val="00CB2390"/>
    <w:rsid w:val="00D71E67"/>
    <w:rsid w:val="00D77721"/>
    <w:rsid w:val="00DC0F86"/>
    <w:rsid w:val="00DD20C3"/>
    <w:rsid w:val="00E75F3D"/>
    <w:rsid w:val="00EA0B9E"/>
    <w:rsid w:val="00F00D08"/>
    <w:rsid w:val="00F44E44"/>
    <w:rsid w:val="00F846DD"/>
    <w:rsid w:val="00FB2147"/>
    <w:rsid w:val="00FB741C"/>
    <w:rsid w:val="00FC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80180"/>
  <w14:defaultImageDpi w14:val="300"/>
  <w15:docId w15:val="{D2FB3B5E-1DBF-4388-8686-C04A6F9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017"/>
    <w:rPr>
      <w:rFonts w:ascii="Times New Roman" w:hAnsi="Times New Roman" w:cs="Times New Roman"/>
    </w:rPr>
  </w:style>
  <w:style w:type="paragraph" w:styleId="BalloonText">
    <w:name w:val="Balloon Text"/>
    <w:basedOn w:val="Normal"/>
    <w:link w:val="BalloonTextChar"/>
    <w:uiPriority w:val="99"/>
    <w:semiHidden/>
    <w:unhideWhenUsed/>
    <w:rsid w:val="00765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D97"/>
    <w:rPr>
      <w:rFonts w:ascii="Lucida Grande" w:hAnsi="Lucida Grande" w:cs="Lucida Grande"/>
      <w:sz w:val="18"/>
      <w:szCs w:val="18"/>
    </w:rPr>
  </w:style>
  <w:style w:type="character" w:styleId="Hyperlink">
    <w:name w:val="Hyperlink"/>
    <w:basedOn w:val="DefaultParagraphFont"/>
    <w:uiPriority w:val="99"/>
    <w:unhideWhenUsed/>
    <w:rsid w:val="00134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0360">
      <w:bodyDiv w:val="1"/>
      <w:marLeft w:val="0"/>
      <w:marRight w:val="0"/>
      <w:marTop w:val="0"/>
      <w:marBottom w:val="0"/>
      <w:divBdr>
        <w:top w:val="none" w:sz="0" w:space="0" w:color="auto"/>
        <w:left w:val="none" w:sz="0" w:space="0" w:color="auto"/>
        <w:bottom w:val="none" w:sz="0" w:space="0" w:color="auto"/>
        <w:right w:val="none" w:sz="0" w:space="0" w:color="auto"/>
      </w:divBdr>
    </w:div>
    <w:div w:id="241065609">
      <w:bodyDiv w:val="1"/>
      <w:marLeft w:val="0"/>
      <w:marRight w:val="0"/>
      <w:marTop w:val="0"/>
      <w:marBottom w:val="0"/>
      <w:divBdr>
        <w:top w:val="none" w:sz="0" w:space="0" w:color="auto"/>
        <w:left w:val="none" w:sz="0" w:space="0" w:color="auto"/>
        <w:bottom w:val="none" w:sz="0" w:space="0" w:color="auto"/>
        <w:right w:val="none" w:sz="0" w:space="0" w:color="auto"/>
      </w:divBdr>
    </w:div>
    <w:div w:id="621107218">
      <w:bodyDiv w:val="1"/>
      <w:marLeft w:val="0"/>
      <w:marRight w:val="0"/>
      <w:marTop w:val="0"/>
      <w:marBottom w:val="0"/>
      <w:divBdr>
        <w:top w:val="none" w:sz="0" w:space="0" w:color="auto"/>
        <w:left w:val="none" w:sz="0" w:space="0" w:color="auto"/>
        <w:bottom w:val="none" w:sz="0" w:space="0" w:color="auto"/>
        <w:right w:val="none" w:sz="0" w:space="0" w:color="auto"/>
      </w:divBdr>
    </w:div>
    <w:div w:id="666979117">
      <w:bodyDiv w:val="1"/>
      <w:marLeft w:val="0"/>
      <w:marRight w:val="0"/>
      <w:marTop w:val="0"/>
      <w:marBottom w:val="0"/>
      <w:divBdr>
        <w:top w:val="none" w:sz="0" w:space="0" w:color="auto"/>
        <w:left w:val="none" w:sz="0" w:space="0" w:color="auto"/>
        <w:bottom w:val="none" w:sz="0" w:space="0" w:color="auto"/>
        <w:right w:val="none" w:sz="0" w:space="0" w:color="auto"/>
      </w:divBdr>
    </w:div>
    <w:div w:id="680354907">
      <w:bodyDiv w:val="1"/>
      <w:marLeft w:val="0"/>
      <w:marRight w:val="0"/>
      <w:marTop w:val="0"/>
      <w:marBottom w:val="0"/>
      <w:divBdr>
        <w:top w:val="none" w:sz="0" w:space="0" w:color="auto"/>
        <w:left w:val="none" w:sz="0" w:space="0" w:color="auto"/>
        <w:bottom w:val="none" w:sz="0" w:space="0" w:color="auto"/>
        <w:right w:val="none" w:sz="0" w:space="0" w:color="auto"/>
      </w:divBdr>
    </w:div>
    <w:div w:id="692001124">
      <w:bodyDiv w:val="1"/>
      <w:marLeft w:val="0"/>
      <w:marRight w:val="0"/>
      <w:marTop w:val="0"/>
      <w:marBottom w:val="0"/>
      <w:divBdr>
        <w:top w:val="none" w:sz="0" w:space="0" w:color="auto"/>
        <w:left w:val="none" w:sz="0" w:space="0" w:color="auto"/>
        <w:bottom w:val="none" w:sz="0" w:space="0" w:color="auto"/>
        <w:right w:val="none" w:sz="0" w:space="0" w:color="auto"/>
      </w:divBdr>
    </w:div>
    <w:div w:id="771631882">
      <w:bodyDiv w:val="1"/>
      <w:marLeft w:val="0"/>
      <w:marRight w:val="0"/>
      <w:marTop w:val="0"/>
      <w:marBottom w:val="0"/>
      <w:divBdr>
        <w:top w:val="none" w:sz="0" w:space="0" w:color="auto"/>
        <w:left w:val="none" w:sz="0" w:space="0" w:color="auto"/>
        <w:bottom w:val="none" w:sz="0" w:space="0" w:color="auto"/>
        <w:right w:val="none" w:sz="0" w:space="0" w:color="auto"/>
      </w:divBdr>
    </w:div>
    <w:div w:id="1022785362">
      <w:bodyDiv w:val="1"/>
      <w:marLeft w:val="0"/>
      <w:marRight w:val="0"/>
      <w:marTop w:val="0"/>
      <w:marBottom w:val="0"/>
      <w:divBdr>
        <w:top w:val="none" w:sz="0" w:space="0" w:color="auto"/>
        <w:left w:val="none" w:sz="0" w:space="0" w:color="auto"/>
        <w:bottom w:val="none" w:sz="0" w:space="0" w:color="auto"/>
        <w:right w:val="none" w:sz="0" w:space="0" w:color="auto"/>
      </w:divBdr>
    </w:div>
    <w:div w:id="1232421108">
      <w:bodyDiv w:val="1"/>
      <w:marLeft w:val="0"/>
      <w:marRight w:val="0"/>
      <w:marTop w:val="0"/>
      <w:marBottom w:val="0"/>
      <w:divBdr>
        <w:top w:val="none" w:sz="0" w:space="0" w:color="auto"/>
        <w:left w:val="none" w:sz="0" w:space="0" w:color="auto"/>
        <w:bottom w:val="none" w:sz="0" w:space="0" w:color="auto"/>
        <w:right w:val="none" w:sz="0" w:space="0" w:color="auto"/>
      </w:divBdr>
    </w:div>
    <w:div w:id="1320116839">
      <w:bodyDiv w:val="1"/>
      <w:marLeft w:val="0"/>
      <w:marRight w:val="0"/>
      <w:marTop w:val="0"/>
      <w:marBottom w:val="0"/>
      <w:divBdr>
        <w:top w:val="none" w:sz="0" w:space="0" w:color="auto"/>
        <w:left w:val="none" w:sz="0" w:space="0" w:color="auto"/>
        <w:bottom w:val="none" w:sz="0" w:space="0" w:color="auto"/>
        <w:right w:val="none" w:sz="0" w:space="0" w:color="auto"/>
      </w:divBdr>
    </w:div>
    <w:div w:id="1476725234">
      <w:bodyDiv w:val="1"/>
      <w:marLeft w:val="0"/>
      <w:marRight w:val="0"/>
      <w:marTop w:val="0"/>
      <w:marBottom w:val="0"/>
      <w:divBdr>
        <w:top w:val="none" w:sz="0" w:space="0" w:color="auto"/>
        <w:left w:val="none" w:sz="0" w:space="0" w:color="auto"/>
        <w:bottom w:val="none" w:sz="0" w:space="0" w:color="auto"/>
        <w:right w:val="none" w:sz="0" w:space="0" w:color="auto"/>
      </w:divBdr>
    </w:div>
    <w:div w:id="1522428381">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779566677">
      <w:bodyDiv w:val="1"/>
      <w:marLeft w:val="0"/>
      <w:marRight w:val="0"/>
      <w:marTop w:val="0"/>
      <w:marBottom w:val="0"/>
      <w:divBdr>
        <w:top w:val="none" w:sz="0" w:space="0" w:color="auto"/>
        <w:left w:val="none" w:sz="0" w:space="0" w:color="auto"/>
        <w:bottom w:val="none" w:sz="0" w:space="0" w:color="auto"/>
        <w:right w:val="none" w:sz="0" w:space="0" w:color="auto"/>
      </w:divBdr>
    </w:div>
    <w:div w:id="2081245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hdincer77@gmail.com</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hawley johnson</cp:lastModifiedBy>
  <cp:revision>2</cp:revision>
  <dcterms:created xsi:type="dcterms:W3CDTF">2018-11-12T17:18:00Z</dcterms:created>
  <dcterms:modified xsi:type="dcterms:W3CDTF">2018-11-12T17:18:00Z</dcterms:modified>
</cp:coreProperties>
</file>