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4F8" w:rsidRPr="00974340" w:rsidRDefault="008624F8" w:rsidP="008624F8">
      <w:pPr>
        <w:rPr>
          <w:rFonts w:ascii="Times New Roman" w:hAnsi="Times New Roman" w:cs="Times New Roman"/>
        </w:rPr>
      </w:pPr>
      <w:r w:rsidRPr="00974340">
        <w:rPr>
          <w:rFonts w:ascii="Times New Roman" w:hAnsi="Times New Roman" w:cs="Times New Roman"/>
          <w:b/>
          <w:u w:val="single"/>
        </w:rPr>
        <w:t>Case title:</w:t>
      </w:r>
      <w:r w:rsidRPr="00974340">
        <w:rPr>
          <w:rFonts w:ascii="Times New Roman" w:hAnsi="Times New Roman" w:cs="Times New Roman"/>
          <w:b/>
        </w:rPr>
        <w:t xml:space="preserve"> </w:t>
      </w:r>
      <w:r w:rsidRPr="00974340">
        <w:rPr>
          <w:rFonts w:ascii="Times New Roman" w:hAnsi="Times New Roman" w:cs="Times New Roman"/>
        </w:rPr>
        <w:t xml:space="preserve">Ontario (Attorney-General) v. </w:t>
      </w:r>
      <w:proofErr w:type="spellStart"/>
      <w:r w:rsidRPr="00974340">
        <w:rPr>
          <w:rFonts w:ascii="Times New Roman" w:hAnsi="Times New Roman" w:cs="Times New Roman"/>
        </w:rPr>
        <w:t>Dieleman</w:t>
      </w:r>
      <w:proofErr w:type="spellEnd"/>
    </w:p>
    <w:p w:rsidR="008624F8" w:rsidRPr="00974340" w:rsidRDefault="008624F8" w:rsidP="008624F8">
      <w:pPr>
        <w:rPr>
          <w:rFonts w:ascii="Times New Roman" w:hAnsi="Times New Roman" w:cs="Times New Roman"/>
        </w:rPr>
      </w:pPr>
      <w:r w:rsidRPr="00974340">
        <w:rPr>
          <w:rFonts w:ascii="Times New Roman" w:hAnsi="Times New Roman" w:cs="Times New Roman"/>
          <w:b/>
          <w:u w:val="single"/>
        </w:rPr>
        <w:t>Case Number:</w:t>
      </w:r>
      <w:r w:rsidRPr="00974340">
        <w:rPr>
          <w:rFonts w:ascii="Times New Roman" w:hAnsi="Times New Roman" w:cs="Times New Roman"/>
        </w:rPr>
        <w:t xml:space="preserve"> 7509 (ON SC)</w:t>
      </w:r>
      <w:r w:rsidRPr="00974340">
        <w:rPr>
          <w:rFonts w:ascii="Times New Roman" w:hAnsi="Times New Roman" w:cs="Times New Roman"/>
        </w:rPr>
        <w:tab/>
      </w:r>
    </w:p>
    <w:p w:rsidR="008624F8" w:rsidRPr="00974340" w:rsidRDefault="008624F8" w:rsidP="008624F8">
      <w:pPr>
        <w:rPr>
          <w:rFonts w:ascii="Times New Roman" w:hAnsi="Times New Roman" w:cs="Times New Roman"/>
        </w:rPr>
      </w:pPr>
      <w:r w:rsidRPr="00974340">
        <w:rPr>
          <w:rFonts w:ascii="Times New Roman" w:hAnsi="Times New Roman" w:cs="Times New Roman"/>
          <w:b/>
          <w:u w:val="single"/>
        </w:rPr>
        <w:t>Country or Region:</w:t>
      </w:r>
      <w:r w:rsidRPr="00974340">
        <w:rPr>
          <w:rFonts w:ascii="Times New Roman" w:hAnsi="Times New Roman" w:cs="Times New Roman"/>
        </w:rPr>
        <w:t xml:space="preserve"> Canada, Ontario </w:t>
      </w:r>
      <w:r w:rsidRPr="00974340">
        <w:rPr>
          <w:rFonts w:ascii="Times New Roman" w:hAnsi="Times New Roman" w:cs="Times New Roman"/>
        </w:rPr>
        <w:tab/>
      </w:r>
      <w:r w:rsidRPr="00974340">
        <w:rPr>
          <w:rFonts w:ascii="Times New Roman" w:hAnsi="Times New Roman" w:cs="Times New Roman"/>
        </w:rPr>
        <w:tab/>
      </w:r>
      <w:r w:rsidRPr="00974340">
        <w:rPr>
          <w:rFonts w:ascii="Times New Roman" w:hAnsi="Times New Roman" w:cs="Times New Roman"/>
        </w:rPr>
        <w:tab/>
      </w:r>
    </w:p>
    <w:p w:rsidR="008624F8" w:rsidRPr="00974340" w:rsidRDefault="008624F8" w:rsidP="008624F8">
      <w:pPr>
        <w:rPr>
          <w:rFonts w:ascii="Times New Roman" w:hAnsi="Times New Roman" w:cs="Times New Roman"/>
        </w:rPr>
      </w:pPr>
      <w:r w:rsidRPr="00974340">
        <w:rPr>
          <w:rFonts w:ascii="Times New Roman" w:hAnsi="Times New Roman" w:cs="Times New Roman"/>
          <w:b/>
          <w:u w:val="single"/>
        </w:rPr>
        <w:t>Name &amp; status of court or arbiter:</w:t>
      </w:r>
      <w:r w:rsidRPr="00974340">
        <w:rPr>
          <w:rFonts w:ascii="Times New Roman" w:hAnsi="Times New Roman" w:cs="Times New Roman"/>
        </w:rPr>
        <w:t xml:space="preserve"> Ontario Supreme Court (General Division) – the largest superior court in Canada – unreviewable </w:t>
      </w:r>
    </w:p>
    <w:p w:rsidR="008624F8" w:rsidRPr="00974340" w:rsidRDefault="008624F8" w:rsidP="008624F8">
      <w:pPr>
        <w:rPr>
          <w:rFonts w:ascii="Times New Roman" w:hAnsi="Times New Roman" w:cs="Times New Roman"/>
        </w:rPr>
      </w:pPr>
      <w:r w:rsidRPr="00974340">
        <w:rPr>
          <w:rFonts w:ascii="Times New Roman" w:hAnsi="Times New Roman" w:cs="Times New Roman"/>
          <w:b/>
          <w:u w:val="single"/>
        </w:rPr>
        <w:t>Date of decision:</w:t>
      </w:r>
      <w:r w:rsidRPr="00974340">
        <w:rPr>
          <w:rFonts w:ascii="Times New Roman" w:hAnsi="Times New Roman" w:cs="Times New Roman"/>
          <w:b/>
        </w:rPr>
        <w:t xml:space="preserve"> </w:t>
      </w:r>
      <w:r w:rsidRPr="00974340">
        <w:rPr>
          <w:rFonts w:ascii="Times New Roman" w:hAnsi="Times New Roman" w:cs="Times New Roman"/>
        </w:rPr>
        <w:t>4 April 1995</w:t>
      </w:r>
      <w:r w:rsidRPr="00974340">
        <w:rPr>
          <w:rFonts w:ascii="Times New Roman" w:hAnsi="Times New Roman" w:cs="Times New Roman"/>
        </w:rPr>
        <w:tab/>
      </w:r>
      <w:r w:rsidRPr="00974340">
        <w:rPr>
          <w:rFonts w:ascii="Times New Roman" w:hAnsi="Times New Roman" w:cs="Times New Roman"/>
        </w:rPr>
        <w:tab/>
      </w:r>
    </w:p>
    <w:p w:rsidR="008624F8" w:rsidRPr="00974340" w:rsidRDefault="008624F8" w:rsidP="008624F8">
      <w:pPr>
        <w:rPr>
          <w:rFonts w:ascii="Times New Roman" w:hAnsi="Times New Roman" w:cs="Times New Roman"/>
        </w:rPr>
      </w:pPr>
      <w:r w:rsidRPr="00974340">
        <w:rPr>
          <w:rFonts w:ascii="Times New Roman" w:hAnsi="Times New Roman" w:cs="Times New Roman"/>
          <w:b/>
          <w:u w:val="single"/>
        </w:rPr>
        <w:t>Relevant law:</w:t>
      </w:r>
      <w:r w:rsidRPr="00974340">
        <w:rPr>
          <w:rFonts w:ascii="Times New Roman" w:hAnsi="Times New Roman" w:cs="Times New Roman"/>
        </w:rPr>
        <w:tab/>
      </w:r>
      <w:r w:rsidR="0015436E">
        <w:rPr>
          <w:rFonts w:ascii="Times New Roman" w:hAnsi="Times New Roman" w:cs="Times New Roman"/>
        </w:rPr>
        <w:t xml:space="preserve">Canadian </w:t>
      </w:r>
      <w:r w:rsidRPr="00974340">
        <w:rPr>
          <w:rFonts w:ascii="Times New Roman" w:hAnsi="Times New Roman" w:cs="Times New Roman"/>
        </w:rPr>
        <w:t>C</w:t>
      </w:r>
      <w:r w:rsidR="005510E2" w:rsidRPr="00974340">
        <w:rPr>
          <w:rFonts w:ascii="Times New Roman" w:hAnsi="Times New Roman" w:cs="Times New Roman"/>
        </w:rPr>
        <w:t xml:space="preserve">harter of rights and freedoms, section 2(c) (freedom of assembly) </w:t>
      </w:r>
    </w:p>
    <w:p w:rsidR="006E2F2A" w:rsidRPr="00F43E02" w:rsidRDefault="008624F8" w:rsidP="008624F8">
      <w:pPr>
        <w:rPr>
          <w:rFonts w:ascii="Times New Roman" w:hAnsi="Times New Roman" w:cs="Times New Roman"/>
        </w:rPr>
      </w:pPr>
      <w:r w:rsidRPr="00974340">
        <w:rPr>
          <w:rFonts w:ascii="Times New Roman" w:hAnsi="Times New Roman" w:cs="Times New Roman"/>
          <w:b/>
          <w:u w:val="single"/>
        </w:rPr>
        <w:t>Decision:</w:t>
      </w:r>
      <w:r w:rsidRPr="00974340">
        <w:rPr>
          <w:rFonts w:ascii="Times New Roman" w:hAnsi="Times New Roman" w:cs="Times New Roman"/>
        </w:rPr>
        <w:t xml:space="preserve">  </w:t>
      </w:r>
      <w:r w:rsidR="006E2F2A" w:rsidRPr="00974340">
        <w:rPr>
          <w:rFonts w:ascii="Times New Roman" w:hAnsi="Times New Roman" w:cs="Times New Roman"/>
        </w:rPr>
        <w:t>‘The defendants are restrained from picketing or encouraging picketing within a five-hundred foot (500’) radius of where the property lines intersect the public sidewalk or roadway where no sidewalk exists, at the homes of doctors.’</w:t>
      </w:r>
    </w:p>
    <w:p w:rsidR="008624F8" w:rsidRPr="00974340" w:rsidRDefault="008624F8" w:rsidP="008624F8">
      <w:pPr>
        <w:rPr>
          <w:rFonts w:ascii="Times New Roman" w:hAnsi="Times New Roman" w:cs="Times New Roman"/>
          <w:b/>
          <w:u w:val="single"/>
        </w:rPr>
      </w:pPr>
      <w:r w:rsidRPr="00974340">
        <w:rPr>
          <w:rFonts w:ascii="Times New Roman" w:hAnsi="Times New Roman" w:cs="Times New Roman"/>
          <w:b/>
          <w:u w:val="single"/>
        </w:rPr>
        <w:t>Summary:</w:t>
      </w:r>
    </w:p>
    <w:p w:rsidR="008624F8" w:rsidRPr="00974340" w:rsidRDefault="00974340" w:rsidP="008624F8">
      <w:pPr>
        <w:rPr>
          <w:rFonts w:ascii="Times New Roman" w:hAnsi="Times New Roman" w:cs="Times New Roman"/>
          <w:b/>
          <w:lang w:val="el-GR"/>
        </w:rPr>
      </w:pPr>
      <w:proofErr w:type="gramStart"/>
      <w:r w:rsidRPr="00974340">
        <w:rPr>
          <w:rFonts w:ascii="Times New Roman" w:hAnsi="Times New Roman" w:cs="Times New Roman"/>
          <w:b/>
        </w:rPr>
        <w:t>a)</w:t>
      </w:r>
      <w:proofErr w:type="gramEnd"/>
      <w:r w:rsidR="008624F8" w:rsidRPr="00974340">
        <w:rPr>
          <w:rFonts w:ascii="Times New Roman" w:hAnsi="Times New Roman" w:cs="Times New Roman"/>
          <w:b/>
        </w:rPr>
        <w:t>Facts</w:t>
      </w:r>
      <w:r w:rsidR="005510E2" w:rsidRPr="00974340">
        <w:rPr>
          <w:rFonts w:ascii="Times New Roman" w:hAnsi="Times New Roman" w:cs="Times New Roman"/>
          <w:b/>
        </w:rPr>
        <w:t>:</w:t>
      </w:r>
      <w:r w:rsidRPr="00974340">
        <w:rPr>
          <w:rFonts w:ascii="Times New Roman" w:hAnsi="Times New Roman" w:cs="Times New Roman"/>
          <w:b/>
          <w:lang w:val="el-GR"/>
        </w:rPr>
        <w:t xml:space="preserve"> </w:t>
      </w:r>
    </w:p>
    <w:tbl>
      <w:tblPr>
        <w:tblW w:w="9053" w:type="dxa"/>
        <w:jc w:val="center"/>
        <w:tblCellSpacing w:w="0" w:type="dxa"/>
        <w:tblCellMar>
          <w:left w:w="0" w:type="dxa"/>
          <w:right w:w="0" w:type="dxa"/>
        </w:tblCellMar>
        <w:tblLook w:val="04A0" w:firstRow="1" w:lastRow="0" w:firstColumn="1" w:lastColumn="0" w:noHBand="0" w:noVBand="1"/>
      </w:tblPr>
      <w:tblGrid>
        <w:gridCol w:w="9053"/>
      </w:tblGrid>
      <w:tr w:rsidR="004404B5" w:rsidRPr="004404B5" w:rsidTr="00BB5181">
        <w:trPr>
          <w:trHeight w:val="2405"/>
          <w:tblCellSpacing w:w="0" w:type="dxa"/>
          <w:jc w:val="center"/>
        </w:trPr>
        <w:tc>
          <w:tcPr>
            <w:tcW w:w="9053" w:type="dxa"/>
            <w:hideMark/>
          </w:tcPr>
          <w:p w:rsidR="004404B5" w:rsidRPr="004404B5" w:rsidRDefault="004404B5" w:rsidP="00BB5181">
            <w:pPr>
              <w:spacing w:before="100" w:beforeAutospacing="1" w:after="100" w:afterAutospacing="1" w:line="240" w:lineRule="auto"/>
              <w:jc w:val="both"/>
              <w:rPr>
                <w:rFonts w:ascii="Times New Roman" w:eastAsia="Times New Roman" w:hAnsi="Times New Roman" w:cs="Times New Roman"/>
                <w:szCs w:val="24"/>
                <w:lang w:eastAsia="en-GB"/>
              </w:rPr>
            </w:pPr>
            <w:r w:rsidRPr="004404B5">
              <w:rPr>
                <w:rFonts w:ascii="Times New Roman" w:eastAsia="Times New Roman" w:hAnsi="Times New Roman" w:cs="Times New Roman"/>
                <w:szCs w:val="24"/>
                <w:lang w:eastAsia="en-GB"/>
              </w:rPr>
              <w:t>The Attorney-General seeks to enjoin all anti-abortion protest activity occurring within five hundred feet (500) of twenty-three (23) locations across Ontario</w:t>
            </w:r>
            <w:r w:rsidR="00974340" w:rsidRPr="00974340">
              <w:rPr>
                <w:rFonts w:ascii="Times New Roman" w:eastAsia="Times New Roman" w:hAnsi="Times New Roman" w:cs="Times New Roman"/>
                <w:szCs w:val="24"/>
                <w:lang w:eastAsia="en-GB"/>
              </w:rPr>
              <w:t xml:space="preserve">, </w:t>
            </w:r>
            <w:r w:rsidR="00BB5181">
              <w:rPr>
                <w:rFonts w:ascii="Times New Roman" w:eastAsia="Times New Roman" w:hAnsi="Times New Roman" w:cs="Times New Roman"/>
                <w:szCs w:val="24"/>
                <w:lang w:eastAsia="en-GB"/>
              </w:rPr>
              <w:t>which included</w:t>
            </w:r>
            <w:r w:rsidR="00974340" w:rsidRPr="00974340">
              <w:rPr>
                <w:rFonts w:ascii="Times New Roman" w:eastAsia="Times New Roman" w:hAnsi="Times New Roman" w:cs="Times New Roman"/>
                <w:szCs w:val="24"/>
                <w:lang w:eastAsia="en-GB"/>
              </w:rPr>
              <w:t xml:space="preserve"> </w:t>
            </w:r>
            <w:r w:rsidRPr="004404B5">
              <w:rPr>
                <w:rFonts w:ascii="Times New Roman" w:eastAsia="Times New Roman" w:hAnsi="Times New Roman" w:cs="Times New Roman"/>
                <w:szCs w:val="24"/>
                <w:lang w:eastAsia="en-GB"/>
              </w:rPr>
              <w:t>hospitals, free-standing abortion clinics, the offices of physicians and the homes of physician</w:t>
            </w:r>
            <w:r w:rsidR="00974340" w:rsidRPr="00974340">
              <w:rPr>
                <w:rFonts w:ascii="Times New Roman" w:eastAsia="Times New Roman" w:hAnsi="Times New Roman" w:cs="Times New Roman"/>
                <w:szCs w:val="24"/>
                <w:lang w:eastAsia="en-GB"/>
              </w:rPr>
              <w:t xml:space="preserve"> (para.1)</w:t>
            </w:r>
            <w:r w:rsidRPr="004404B5">
              <w:rPr>
                <w:rFonts w:ascii="Times New Roman" w:eastAsia="Times New Roman" w:hAnsi="Times New Roman" w:cs="Times New Roman"/>
                <w:szCs w:val="24"/>
                <w:lang w:eastAsia="en-GB"/>
              </w:rPr>
              <w:t xml:space="preserve">. </w:t>
            </w:r>
            <w:r w:rsidR="00974340" w:rsidRPr="00974340">
              <w:rPr>
                <w:rFonts w:ascii="Times New Roman" w:eastAsia="Times New Roman" w:hAnsi="Times New Roman" w:cs="Times New Roman"/>
                <w:szCs w:val="24"/>
                <w:lang w:eastAsia="en-GB"/>
              </w:rPr>
              <w:t xml:space="preserve">However, this protest is claimed as ‘public nuisance’ since it caused interference in accessing safe abortion services and defendants based their argument on </w:t>
            </w:r>
            <w:r w:rsidR="00974340" w:rsidRPr="004404B5">
              <w:rPr>
                <w:rFonts w:ascii="Times New Roman" w:eastAsia="Times New Roman" w:hAnsi="Times New Roman" w:cs="Times New Roman"/>
                <w:szCs w:val="24"/>
                <w:lang w:eastAsia="en-GB"/>
              </w:rPr>
              <w:t>their constitutional freedoms of expression, assembly and religion</w:t>
            </w:r>
            <w:r w:rsidR="00974340" w:rsidRPr="00974340">
              <w:rPr>
                <w:rFonts w:ascii="Times New Roman" w:eastAsia="Times New Roman" w:hAnsi="Times New Roman" w:cs="Times New Roman"/>
                <w:szCs w:val="24"/>
                <w:lang w:eastAsia="en-GB"/>
              </w:rPr>
              <w:t xml:space="preserve"> (paras.1-2).  </w:t>
            </w:r>
            <w:r w:rsidR="00974340">
              <w:rPr>
                <w:rFonts w:ascii="Times New Roman" w:eastAsia="Times New Roman" w:hAnsi="Times New Roman" w:cs="Times New Roman"/>
                <w:szCs w:val="24"/>
                <w:lang w:eastAsia="en-GB"/>
              </w:rPr>
              <w:t>T</w:t>
            </w:r>
            <w:r w:rsidR="00974340" w:rsidRPr="00974340">
              <w:rPr>
                <w:rFonts w:ascii="Times New Roman" w:eastAsia="Times New Roman" w:hAnsi="Times New Roman" w:cs="Times New Roman"/>
                <w:szCs w:val="24"/>
                <w:lang w:eastAsia="en-GB"/>
              </w:rPr>
              <w:t>he Attorney-Gene</w:t>
            </w:r>
            <w:r w:rsidR="00974340">
              <w:rPr>
                <w:rFonts w:ascii="Times New Roman" w:eastAsia="Times New Roman" w:hAnsi="Times New Roman" w:cs="Times New Roman"/>
                <w:szCs w:val="24"/>
                <w:lang w:eastAsia="en-GB"/>
              </w:rPr>
              <w:t>ral of Ontario</w:t>
            </w:r>
            <w:r w:rsidR="00974340" w:rsidRPr="00974340">
              <w:rPr>
                <w:rFonts w:ascii="Times New Roman" w:eastAsia="Times New Roman" w:hAnsi="Times New Roman" w:cs="Times New Roman"/>
                <w:szCs w:val="24"/>
                <w:lang w:eastAsia="en-GB"/>
              </w:rPr>
              <w:t xml:space="preserve"> </w:t>
            </w:r>
            <w:r w:rsidR="00974340">
              <w:rPr>
                <w:rFonts w:ascii="Times New Roman" w:eastAsia="Times New Roman" w:hAnsi="Times New Roman" w:cs="Times New Roman"/>
                <w:szCs w:val="24"/>
                <w:lang w:eastAsia="en-GB"/>
              </w:rPr>
              <w:t>‘</w:t>
            </w:r>
            <w:r w:rsidR="00974340" w:rsidRPr="00974340">
              <w:rPr>
                <w:rFonts w:ascii="Times New Roman" w:eastAsia="Times New Roman" w:hAnsi="Times New Roman" w:cs="Times New Roman"/>
                <w:szCs w:val="24"/>
                <w:lang w:eastAsia="en-GB"/>
              </w:rPr>
              <w:t>seeks an interlocutory injunction</w:t>
            </w:r>
            <w:r w:rsidR="00974340">
              <w:rPr>
                <w:rFonts w:ascii="Times New Roman" w:eastAsia="Times New Roman" w:hAnsi="Times New Roman" w:cs="Times New Roman"/>
                <w:szCs w:val="24"/>
                <w:lang w:eastAsia="en-GB"/>
              </w:rPr>
              <w:t>’ which refrains the defendants from various a</w:t>
            </w:r>
            <w:r w:rsidR="00BB5181">
              <w:rPr>
                <w:rFonts w:ascii="Times New Roman" w:eastAsia="Times New Roman" w:hAnsi="Times New Roman" w:cs="Times New Roman"/>
                <w:szCs w:val="24"/>
                <w:lang w:eastAsia="en-GB"/>
              </w:rPr>
              <w:t xml:space="preserve">ctions which includes picketing (para.3). </w:t>
            </w:r>
          </w:p>
        </w:tc>
      </w:tr>
    </w:tbl>
    <w:p w:rsidR="00BB5181" w:rsidRPr="00BB5181" w:rsidRDefault="008624F8" w:rsidP="006E2F2A">
      <w:pPr>
        <w:rPr>
          <w:rFonts w:ascii="Times New Roman" w:hAnsi="Times New Roman" w:cs="Times New Roman"/>
          <w:b/>
        </w:rPr>
      </w:pPr>
      <w:r w:rsidRPr="00BB5181">
        <w:rPr>
          <w:rFonts w:ascii="Times New Roman" w:hAnsi="Times New Roman" w:cs="Times New Roman"/>
          <w:b/>
        </w:rPr>
        <w:t>Decision</w:t>
      </w:r>
      <w:r w:rsidR="005510E2" w:rsidRPr="00BB5181">
        <w:rPr>
          <w:rFonts w:ascii="Times New Roman" w:hAnsi="Times New Roman" w:cs="Times New Roman"/>
          <w:b/>
        </w:rPr>
        <w:t>:</w:t>
      </w:r>
    </w:p>
    <w:p w:rsidR="0015436E" w:rsidRDefault="0015436E" w:rsidP="008624F8">
      <w:pPr>
        <w:rPr>
          <w:rFonts w:ascii="Times New Roman" w:hAnsi="Times New Roman" w:cs="Times New Roman"/>
        </w:rPr>
      </w:pPr>
      <w:r w:rsidRPr="0015436E">
        <w:rPr>
          <w:rFonts w:ascii="Times New Roman" w:hAnsi="Times New Roman" w:cs="Times New Roman"/>
        </w:rPr>
        <w:t xml:space="preserve">The order of the Attorney-General which refrains defendants from picketing outside specific locations is in violation with the freedom of assembly as set out in s. 2(c) of the Charter (para.702).  Also, picketing outside hospitals, free-standing abortion clinics and the home of physicians (in total 23 locations) aiming at expressing their disapproval against abortions, ‘constitutes a reasonable limit in a free and democratic society’ (para.702). </w:t>
      </w:r>
    </w:p>
    <w:p w:rsidR="008624F8" w:rsidRPr="005510E2" w:rsidRDefault="008624F8" w:rsidP="008624F8">
      <w:pPr>
        <w:rPr>
          <w:b/>
        </w:rPr>
      </w:pPr>
      <w:r w:rsidRPr="005510E2">
        <w:rPr>
          <w:b/>
        </w:rPr>
        <w:t>Resources:</w:t>
      </w:r>
    </w:p>
    <w:p w:rsidR="008624F8" w:rsidRDefault="00375DC3" w:rsidP="008624F8">
      <w:hyperlink r:id="rId4" w:history="1">
        <w:r w:rsidR="006E2F2A">
          <w:rPr>
            <w:rStyle w:val="Hyperlink"/>
          </w:rPr>
          <w:t>Judgment of the Court</w:t>
        </w:r>
      </w:hyperlink>
      <w:r w:rsidR="006E2F2A">
        <w:t xml:space="preserve">  </w:t>
      </w:r>
    </w:p>
    <w:p w:rsidR="00625E55" w:rsidRDefault="00625E55"/>
    <w:p w:rsidR="0015436E" w:rsidRDefault="0015436E"/>
    <w:p w:rsidR="0015436E" w:rsidRDefault="0015436E"/>
    <w:p w:rsidR="0015436E" w:rsidRDefault="0015436E"/>
    <w:p w:rsidR="0015436E" w:rsidRDefault="0015436E"/>
    <w:p w:rsidR="0015436E" w:rsidRDefault="0015436E"/>
    <w:p w:rsidR="0015436E" w:rsidRDefault="0015436E"/>
    <w:p w:rsidR="0015436E" w:rsidRDefault="0015436E"/>
    <w:p w:rsidR="0015436E" w:rsidRDefault="0015436E"/>
    <w:p w:rsidR="0015436E" w:rsidRDefault="0015436E"/>
    <w:p w:rsidR="0015436E" w:rsidRPr="00974340" w:rsidRDefault="0015436E" w:rsidP="0015436E">
      <w:pPr>
        <w:rPr>
          <w:rFonts w:ascii="Times New Roman" w:hAnsi="Times New Roman" w:cs="Times New Roman"/>
        </w:rPr>
      </w:pPr>
      <w:r w:rsidRPr="00974340">
        <w:rPr>
          <w:rFonts w:ascii="Times New Roman" w:hAnsi="Times New Roman" w:cs="Times New Roman"/>
          <w:b/>
          <w:u w:val="single"/>
        </w:rPr>
        <w:t>Case title:</w:t>
      </w:r>
      <w:r w:rsidRPr="00974340">
        <w:rPr>
          <w:rFonts w:ascii="Times New Roman" w:hAnsi="Times New Roman" w:cs="Times New Roman"/>
          <w:b/>
        </w:rPr>
        <w:t xml:space="preserve"> </w:t>
      </w:r>
      <w:r w:rsidRPr="0015436E">
        <w:rPr>
          <w:rFonts w:ascii="Times New Roman" w:hAnsi="Times New Roman" w:cs="Times New Roman"/>
        </w:rPr>
        <w:t>B.C.G.E.U. v. British Columbia (Attorney General)</w:t>
      </w:r>
    </w:p>
    <w:p w:rsidR="0015436E" w:rsidRPr="00974340" w:rsidRDefault="0015436E" w:rsidP="0015436E">
      <w:pPr>
        <w:rPr>
          <w:rFonts w:ascii="Times New Roman" w:hAnsi="Times New Roman" w:cs="Times New Roman"/>
        </w:rPr>
      </w:pPr>
      <w:r w:rsidRPr="00974340">
        <w:rPr>
          <w:rFonts w:ascii="Times New Roman" w:hAnsi="Times New Roman" w:cs="Times New Roman"/>
          <w:b/>
          <w:u w:val="single"/>
        </w:rPr>
        <w:t>Case Number:</w:t>
      </w:r>
      <w:r w:rsidRPr="00974340">
        <w:rPr>
          <w:rFonts w:ascii="Times New Roman" w:hAnsi="Times New Roman" w:cs="Times New Roman"/>
        </w:rPr>
        <w:t xml:space="preserve"> </w:t>
      </w:r>
      <w:r w:rsidRPr="0015436E">
        <w:rPr>
          <w:rFonts w:ascii="Times New Roman" w:hAnsi="Times New Roman" w:cs="Times New Roman"/>
        </w:rPr>
        <w:t>[1988] 2 SCR 214</w:t>
      </w:r>
      <w:r w:rsidRPr="00974340">
        <w:rPr>
          <w:rFonts w:ascii="Times New Roman" w:hAnsi="Times New Roman" w:cs="Times New Roman"/>
        </w:rPr>
        <w:tab/>
      </w:r>
    </w:p>
    <w:p w:rsidR="0015436E" w:rsidRPr="00974340" w:rsidRDefault="0015436E" w:rsidP="0015436E">
      <w:pPr>
        <w:rPr>
          <w:rFonts w:ascii="Times New Roman" w:hAnsi="Times New Roman" w:cs="Times New Roman"/>
        </w:rPr>
      </w:pPr>
      <w:r w:rsidRPr="00974340">
        <w:rPr>
          <w:rFonts w:ascii="Times New Roman" w:hAnsi="Times New Roman" w:cs="Times New Roman"/>
          <w:b/>
          <w:u w:val="single"/>
        </w:rPr>
        <w:t>Country or Region:</w:t>
      </w:r>
      <w:r w:rsidRPr="00974340">
        <w:rPr>
          <w:rFonts w:ascii="Times New Roman" w:hAnsi="Times New Roman" w:cs="Times New Roman"/>
        </w:rPr>
        <w:t xml:space="preserve"> Canada, Ontario </w:t>
      </w:r>
      <w:r w:rsidRPr="00974340">
        <w:rPr>
          <w:rFonts w:ascii="Times New Roman" w:hAnsi="Times New Roman" w:cs="Times New Roman"/>
        </w:rPr>
        <w:tab/>
      </w:r>
      <w:r w:rsidRPr="00974340">
        <w:rPr>
          <w:rFonts w:ascii="Times New Roman" w:hAnsi="Times New Roman" w:cs="Times New Roman"/>
        </w:rPr>
        <w:tab/>
      </w:r>
      <w:r w:rsidRPr="00974340">
        <w:rPr>
          <w:rFonts w:ascii="Times New Roman" w:hAnsi="Times New Roman" w:cs="Times New Roman"/>
        </w:rPr>
        <w:tab/>
      </w:r>
    </w:p>
    <w:p w:rsidR="0015436E" w:rsidRPr="00974340" w:rsidRDefault="0015436E" w:rsidP="0015436E">
      <w:pPr>
        <w:rPr>
          <w:rFonts w:ascii="Times New Roman" w:hAnsi="Times New Roman" w:cs="Times New Roman"/>
        </w:rPr>
      </w:pPr>
      <w:r w:rsidRPr="00974340">
        <w:rPr>
          <w:rFonts w:ascii="Times New Roman" w:hAnsi="Times New Roman" w:cs="Times New Roman"/>
          <w:b/>
          <w:u w:val="single"/>
        </w:rPr>
        <w:t>Name &amp; status of court or arbiter:</w:t>
      </w:r>
      <w:r w:rsidRPr="00974340">
        <w:rPr>
          <w:rFonts w:ascii="Times New Roman" w:hAnsi="Times New Roman" w:cs="Times New Roman"/>
        </w:rPr>
        <w:t xml:space="preserve"> Supreme Court </w:t>
      </w:r>
      <w:r>
        <w:rPr>
          <w:rFonts w:ascii="Times New Roman" w:hAnsi="Times New Roman" w:cs="Times New Roman"/>
        </w:rPr>
        <w:t>of Canada</w:t>
      </w:r>
      <w:r w:rsidRPr="00974340">
        <w:rPr>
          <w:rFonts w:ascii="Times New Roman" w:hAnsi="Times New Roman" w:cs="Times New Roman"/>
        </w:rPr>
        <w:t xml:space="preserve">– unreviewable </w:t>
      </w:r>
    </w:p>
    <w:p w:rsidR="0015436E" w:rsidRPr="00974340" w:rsidRDefault="0015436E" w:rsidP="0015436E">
      <w:pPr>
        <w:rPr>
          <w:rFonts w:ascii="Times New Roman" w:hAnsi="Times New Roman" w:cs="Times New Roman"/>
        </w:rPr>
      </w:pPr>
      <w:r w:rsidRPr="00974340">
        <w:rPr>
          <w:rFonts w:ascii="Times New Roman" w:hAnsi="Times New Roman" w:cs="Times New Roman"/>
          <w:b/>
          <w:u w:val="single"/>
        </w:rPr>
        <w:t>Date of decision:</w:t>
      </w:r>
      <w:r w:rsidRPr="00974340">
        <w:rPr>
          <w:rFonts w:ascii="Times New Roman" w:hAnsi="Times New Roman" w:cs="Times New Roman"/>
          <w:b/>
        </w:rPr>
        <w:t xml:space="preserve"> </w:t>
      </w:r>
      <w:r>
        <w:rPr>
          <w:rFonts w:ascii="Times New Roman" w:hAnsi="Times New Roman" w:cs="Times New Roman"/>
        </w:rPr>
        <w:t>20</w:t>
      </w:r>
      <w:r w:rsidRPr="00974340">
        <w:rPr>
          <w:rFonts w:ascii="Times New Roman" w:hAnsi="Times New Roman" w:cs="Times New Roman"/>
        </w:rPr>
        <w:t xml:space="preserve"> </w:t>
      </w:r>
      <w:r>
        <w:rPr>
          <w:rFonts w:ascii="Times New Roman" w:hAnsi="Times New Roman" w:cs="Times New Roman"/>
        </w:rPr>
        <w:t>October</w:t>
      </w:r>
      <w:r w:rsidRPr="00974340">
        <w:rPr>
          <w:rFonts w:ascii="Times New Roman" w:hAnsi="Times New Roman" w:cs="Times New Roman"/>
        </w:rPr>
        <w:t xml:space="preserve"> </w:t>
      </w:r>
      <w:r>
        <w:rPr>
          <w:rFonts w:ascii="Times New Roman" w:hAnsi="Times New Roman" w:cs="Times New Roman"/>
        </w:rPr>
        <w:t>1988</w:t>
      </w:r>
      <w:r w:rsidRPr="00974340">
        <w:rPr>
          <w:rFonts w:ascii="Times New Roman" w:hAnsi="Times New Roman" w:cs="Times New Roman"/>
        </w:rPr>
        <w:tab/>
      </w:r>
      <w:r w:rsidRPr="00974340">
        <w:rPr>
          <w:rFonts w:ascii="Times New Roman" w:hAnsi="Times New Roman" w:cs="Times New Roman"/>
        </w:rPr>
        <w:tab/>
      </w:r>
    </w:p>
    <w:p w:rsidR="0015436E" w:rsidRPr="00974340" w:rsidRDefault="0015436E" w:rsidP="0015436E">
      <w:pPr>
        <w:rPr>
          <w:rFonts w:ascii="Times New Roman" w:hAnsi="Times New Roman" w:cs="Times New Roman"/>
        </w:rPr>
      </w:pPr>
      <w:r w:rsidRPr="00974340">
        <w:rPr>
          <w:rFonts w:ascii="Times New Roman" w:hAnsi="Times New Roman" w:cs="Times New Roman"/>
          <w:b/>
          <w:u w:val="single"/>
        </w:rPr>
        <w:t>Relevant law:</w:t>
      </w:r>
      <w:r w:rsidRPr="00974340">
        <w:rPr>
          <w:rFonts w:ascii="Times New Roman" w:hAnsi="Times New Roman" w:cs="Times New Roman"/>
        </w:rPr>
        <w:tab/>
      </w:r>
      <w:r>
        <w:rPr>
          <w:rFonts w:ascii="Times New Roman" w:hAnsi="Times New Roman" w:cs="Times New Roman"/>
        </w:rPr>
        <w:t xml:space="preserve">Canadian </w:t>
      </w:r>
      <w:r w:rsidRPr="00974340">
        <w:rPr>
          <w:rFonts w:ascii="Times New Roman" w:hAnsi="Times New Roman" w:cs="Times New Roman"/>
        </w:rPr>
        <w:t xml:space="preserve">Charter of rights and freedoms, section 2(c) (freedom of assembly) </w:t>
      </w:r>
    </w:p>
    <w:p w:rsidR="0015436E" w:rsidRPr="0015436E" w:rsidRDefault="0015436E" w:rsidP="00D15B3C">
      <w:pPr>
        <w:jc w:val="both"/>
        <w:rPr>
          <w:rFonts w:ascii="Times New Roman" w:hAnsi="Times New Roman" w:cs="Times New Roman"/>
        </w:rPr>
      </w:pPr>
      <w:r w:rsidRPr="00974340">
        <w:rPr>
          <w:rFonts w:ascii="Times New Roman" w:hAnsi="Times New Roman" w:cs="Times New Roman"/>
          <w:b/>
          <w:u w:val="single"/>
        </w:rPr>
        <w:t>Decision:</w:t>
      </w:r>
      <w:r w:rsidRPr="00974340">
        <w:rPr>
          <w:rFonts w:ascii="Times New Roman" w:hAnsi="Times New Roman" w:cs="Times New Roman"/>
        </w:rPr>
        <w:t xml:space="preserve">  ‘</w:t>
      </w:r>
      <w:r w:rsidR="009029EE" w:rsidRPr="009029EE">
        <w:rPr>
          <w:rFonts w:ascii="Times New Roman" w:hAnsi="Times New Roman" w:cs="Times New Roman"/>
        </w:rPr>
        <w:t xml:space="preserve">The order by the Chief Justice of the Supreme </w:t>
      </w:r>
      <w:r w:rsidR="009029EE">
        <w:rPr>
          <w:rFonts w:ascii="Times New Roman" w:hAnsi="Times New Roman" w:cs="Times New Roman"/>
        </w:rPr>
        <w:t>Court of Brit</w:t>
      </w:r>
      <w:r w:rsidR="00B56374">
        <w:rPr>
          <w:rFonts w:ascii="Times New Roman" w:hAnsi="Times New Roman" w:cs="Times New Roman"/>
        </w:rPr>
        <w:t>ish Columbia,</w:t>
      </w:r>
      <w:r w:rsidR="00D15B3C">
        <w:rPr>
          <w:rFonts w:ascii="Times New Roman" w:hAnsi="Times New Roman" w:cs="Times New Roman"/>
        </w:rPr>
        <w:t xml:space="preserve"> </w:t>
      </w:r>
      <w:r w:rsidR="009029EE">
        <w:rPr>
          <w:rFonts w:ascii="Times New Roman" w:hAnsi="Times New Roman" w:cs="Times New Roman"/>
        </w:rPr>
        <w:t xml:space="preserve">which restrained </w:t>
      </w:r>
      <w:r w:rsidR="009029EE" w:rsidRPr="009029EE">
        <w:rPr>
          <w:rFonts w:ascii="Times New Roman" w:hAnsi="Times New Roman" w:cs="Times New Roman"/>
        </w:rPr>
        <w:t>picketing and other activities within the precincts of all court</w:t>
      </w:r>
      <w:r w:rsidR="009029EE" w:rsidRPr="009029EE">
        <w:rPr>
          <w:rFonts w:ascii="Cambria Math" w:hAnsi="Cambria Math" w:cs="Cambria Math"/>
        </w:rPr>
        <w:t>‑</w:t>
      </w:r>
      <w:r w:rsidR="009029EE" w:rsidRPr="009029EE">
        <w:rPr>
          <w:rFonts w:ascii="Times New Roman" w:hAnsi="Times New Roman" w:cs="Times New Roman"/>
        </w:rPr>
        <w:t>houses in British Columbia</w:t>
      </w:r>
      <w:r w:rsidR="00B56374">
        <w:rPr>
          <w:rFonts w:ascii="Times New Roman" w:hAnsi="Times New Roman" w:cs="Times New Roman"/>
        </w:rPr>
        <w:t>,</w:t>
      </w:r>
      <w:r w:rsidR="009029EE" w:rsidRPr="009029EE">
        <w:rPr>
          <w:rFonts w:ascii="Times New Roman" w:hAnsi="Times New Roman" w:cs="Times New Roman"/>
        </w:rPr>
        <w:t xml:space="preserve"> did infringe or deny the </w:t>
      </w:r>
      <w:r w:rsidR="009029EE">
        <w:rPr>
          <w:rFonts w:ascii="Times New Roman" w:hAnsi="Times New Roman" w:cs="Times New Roman"/>
        </w:rPr>
        <w:t>freedom of assembly.’</w:t>
      </w:r>
    </w:p>
    <w:p w:rsidR="0015436E" w:rsidRPr="00974340" w:rsidRDefault="0015436E" w:rsidP="0015436E">
      <w:pPr>
        <w:rPr>
          <w:rFonts w:ascii="Times New Roman" w:hAnsi="Times New Roman" w:cs="Times New Roman"/>
          <w:b/>
          <w:u w:val="single"/>
        </w:rPr>
      </w:pPr>
      <w:r w:rsidRPr="00974340">
        <w:rPr>
          <w:rFonts w:ascii="Times New Roman" w:hAnsi="Times New Roman" w:cs="Times New Roman"/>
          <w:b/>
          <w:u w:val="single"/>
        </w:rPr>
        <w:t>Summary:</w:t>
      </w:r>
    </w:p>
    <w:p w:rsidR="0015436E" w:rsidRPr="00974340" w:rsidRDefault="0015436E" w:rsidP="0015436E">
      <w:pPr>
        <w:rPr>
          <w:rFonts w:ascii="Times New Roman" w:hAnsi="Times New Roman" w:cs="Times New Roman"/>
          <w:b/>
          <w:lang w:val="el-GR"/>
        </w:rPr>
      </w:pPr>
      <w:proofErr w:type="gramStart"/>
      <w:r w:rsidRPr="00974340">
        <w:rPr>
          <w:rFonts w:ascii="Times New Roman" w:hAnsi="Times New Roman" w:cs="Times New Roman"/>
          <w:b/>
        </w:rPr>
        <w:t>a)</w:t>
      </w:r>
      <w:proofErr w:type="gramEnd"/>
      <w:r w:rsidRPr="00974340">
        <w:rPr>
          <w:rFonts w:ascii="Times New Roman" w:hAnsi="Times New Roman" w:cs="Times New Roman"/>
          <w:b/>
        </w:rPr>
        <w:t>Facts:</w:t>
      </w:r>
      <w:r w:rsidRPr="00974340">
        <w:rPr>
          <w:rFonts w:ascii="Times New Roman" w:hAnsi="Times New Roman" w:cs="Times New Roman"/>
          <w:b/>
          <w:lang w:val="el-GR"/>
        </w:rPr>
        <w:t xml:space="preserve"> </w:t>
      </w:r>
    </w:p>
    <w:tbl>
      <w:tblPr>
        <w:tblW w:w="9053" w:type="dxa"/>
        <w:jc w:val="center"/>
        <w:tblCellSpacing w:w="0" w:type="dxa"/>
        <w:tblCellMar>
          <w:left w:w="0" w:type="dxa"/>
          <w:right w:w="0" w:type="dxa"/>
        </w:tblCellMar>
        <w:tblLook w:val="04A0" w:firstRow="1" w:lastRow="0" w:firstColumn="1" w:lastColumn="0" w:noHBand="0" w:noVBand="1"/>
      </w:tblPr>
      <w:tblGrid>
        <w:gridCol w:w="9053"/>
      </w:tblGrid>
      <w:tr w:rsidR="0015436E" w:rsidRPr="004404B5" w:rsidTr="0015436E">
        <w:trPr>
          <w:trHeight w:val="2405"/>
          <w:tblCellSpacing w:w="0" w:type="dxa"/>
          <w:jc w:val="center"/>
        </w:trPr>
        <w:tc>
          <w:tcPr>
            <w:tcW w:w="9053" w:type="dxa"/>
          </w:tcPr>
          <w:p w:rsidR="0015436E" w:rsidRPr="004404B5" w:rsidRDefault="00B56374" w:rsidP="00F22B5A">
            <w:pPr>
              <w:spacing w:before="100" w:beforeAutospacing="1" w:after="100" w:afterAutospacing="1" w:line="240" w:lineRule="auto"/>
              <w:jc w:val="both"/>
              <w:rPr>
                <w:rFonts w:ascii="Times New Roman" w:eastAsia="Times New Roman" w:hAnsi="Times New Roman" w:cs="Times New Roman"/>
                <w:szCs w:val="24"/>
                <w:lang w:eastAsia="en-GB"/>
              </w:rPr>
            </w:pPr>
            <w:r>
              <w:rPr>
                <w:rFonts w:ascii="Times New Roman" w:eastAsia="Times New Roman" w:hAnsi="Times New Roman" w:cs="Times New Roman"/>
                <w:szCs w:val="24"/>
                <w:lang w:eastAsia="en-GB"/>
              </w:rPr>
              <w:t>On the morning of 1st November</w:t>
            </w:r>
            <w:r w:rsidRPr="00B56374">
              <w:rPr>
                <w:rFonts w:ascii="Times New Roman" w:eastAsia="Times New Roman" w:hAnsi="Times New Roman" w:cs="Times New Roman"/>
                <w:szCs w:val="24"/>
                <w:lang w:eastAsia="en-GB"/>
              </w:rPr>
              <w:t xml:space="preserve">1983, </w:t>
            </w:r>
            <w:r>
              <w:rPr>
                <w:rFonts w:ascii="Times New Roman" w:eastAsia="Times New Roman" w:hAnsi="Times New Roman" w:cs="Times New Roman"/>
                <w:szCs w:val="24"/>
                <w:lang w:eastAsia="en-GB"/>
              </w:rPr>
              <w:t>‘</w:t>
            </w:r>
            <w:r w:rsidRPr="00B56374">
              <w:rPr>
                <w:rFonts w:ascii="Times New Roman" w:eastAsia="Times New Roman" w:hAnsi="Times New Roman" w:cs="Times New Roman"/>
                <w:szCs w:val="24"/>
                <w:lang w:eastAsia="en-GB"/>
              </w:rPr>
              <w:t>pickets were posted at the entrances to and within the precincts of, the courts of justice in Vancouver and at all other courts of justice in the province of British Columbia</w:t>
            </w:r>
            <w:r>
              <w:rPr>
                <w:rFonts w:ascii="Times New Roman" w:eastAsia="Times New Roman" w:hAnsi="Times New Roman" w:cs="Times New Roman"/>
                <w:szCs w:val="24"/>
                <w:lang w:eastAsia="en-GB"/>
              </w:rPr>
              <w:t>’, after the strike action taken by the appellant, British Columbia Government Employees Union (para.2)</w:t>
            </w:r>
            <w:r w:rsidRPr="00B56374">
              <w:rPr>
                <w:rFonts w:ascii="Times New Roman" w:eastAsia="Times New Roman" w:hAnsi="Times New Roman" w:cs="Times New Roman"/>
                <w:szCs w:val="24"/>
                <w:lang w:eastAsia="en-GB"/>
              </w:rPr>
              <w:t xml:space="preserve">. </w:t>
            </w:r>
            <w:r>
              <w:rPr>
                <w:rFonts w:ascii="Times New Roman" w:eastAsia="Times New Roman" w:hAnsi="Times New Roman" w:cs="Times New Roman"/>
                <w:szCs w:val="24"/>
                <w:lang w:eastAsia="en-GB"/>
              </w:rPr>
              <w:t>‘</w:t>
            </w:r>
            <w:r w:rsidRPr="00B56374">
              <w:rPr>
                <w:rFonts w:ascii="Times New Roman" w:eastAsia="Times New Roman" w:hAnsi="Times New Roman" w:cs="Times New Roman"/>
                <w:szCs w:val="24"/>
                <w:lang w:eastAsia="en-GB"/>
              </w:rPr>
              <w:t>The strike came at a time of the year when all the courts of the province were in session.</w:t>
            </w:r>
            <w:r>
              <w:rPr>
                <w:rFonts w:ascii="Times New Roman" w:eastAsia="Times New Roman" w:hAnsi="Times New Roman" w:cs="Times New Roman"/>
                <w:szCs w:val="24"/>
                <w:lang w:eastAsia="en-GB"/>
              </w:rPr>
              <w:t xml:space="preserve">’ (para.2) </w:t>
            </w:r>
            <w:r w:rsidR="00F22B5A">
              <w:rPr>
                <w:rFonts w:ascii="Times New Roman" w:eastAsia="Times New Roman" w:hAnsi="Times New Roman" w:cs="Times New Roman"/>
                <w:szCs w:val="24"/>
                <w:lang w:eastAsia="en-GB"/>
              </w:rPr>
              <w:t>‘</w:t>
            </w:r>
            <w:r w:rsidRPr="00B56374">
              <w:rPr>
                <w:rFonts w:ascii="Times New Roman" w:eastAsia="Times New Roman" w:hAnsi="Times New Roman" w:cs="Times New Roman"/>
                <w:szCs w:val="24"/>
                <w:lang w:eastAsia="en-GB"/>
              </w:rPr>
              <w:t>The Union did issue "picket passes" whereby it purported to authorize people, including officers of the court, to pass through the picket lines</w:t>
            </w:r>
            <w:r w:rsidR="00F22B5A">
              <w:rPr>
                <w:rFonts w:ascii="Times New Roman" w:eastAsia="Times New Roman" w:hAnsi="Times New Roman" w:cs="Times New Roman"/>
                <w:szCs w:val="24"/>
                <w:lang w:eastAsia="en-GB"/>
              </w:rPr>
              <w:t>’</w:t>
            </w:r>
            <w:r>
              <w:rPr>
                <w:rFonts w:ascii="Times New Roman" w:eastAsia="Times New Roman" w:hAnsi="Times New Roman" w:cs="Times New Roman"/>
                <w:szCs w:val="24"/>
                <w:lang w:eastAsia="en-GB"/>
              </w:rPr>
              <w:t xml:space="preserve"> (para.2) </w:t>
            </w:r>
            <w:r w:rsidRPr="00B56374">
              <w:rPr>
                <w:rFonts w:ascii="Times New Roman" w:eastAsia="Times New Roman" w:hAnsi="Times New Roman" w:cs="Times New Roman"/>
                <w:szCs w:val="24"/>
                <w:lang w:eastAsia="en-GB"/>
              </w:rPr>
              <w:t>.</w:t>
            </w:r>
            <w:r>
              <w:rPr>
                <w:rFonts w:ascii="Times New Roman" w:eastAsia="Times New Roman" w:hAnsi="Times New Roman" w:cs="Times New Roman"/>
                <w:szCs w:val="24"/>
                <w:lang w:eastAsia="en-GB"/>
              </w:rPr>
              <w:t>The note by t</w:t>
            </w:r>
            <w:r w:rsidRPr="00B56374">
              <w:rPr>
                <w:rFonts w:ascii="Times New Roman" w:eastAsia="Times New Roman" w:hAnsi="Times New Roman" w:cs="Times New Roman"/>
                <w:szCs w:val="24"/>
                <w:lang w:eastAsia="en-GB"/>
              </w:rPr>
              <w:t xml:space="preserve">he Chief Justice </w:t>
            </w:r>
            <w:r w:rsidR="00F22B5A">
              <w:rPr>
                <w:rFonts w:ascii="Times New Roman" w:eastAsia="Times New Roman" w:hAnsi="Times New Roman" w:cs="Times New Roman"/>
                <w:szCs w:val="24"/>
                <w:lang w:eastAsia="en-GB"/>
              </w:rPr>
              <w:t xml:space="preserve">claimed that the note </w:t>
            </w:r>
            <w:r>
              <w:rPr>
                <w:rFonts w:ascii="Times New Roman" w:eastAsia="Times New Roman" w:hAnsi="Times New Roman" w:cs="Times New Roman"/>
                <w:szCs w:val="24"/>
                <w:lang w:eastAsia="en-GB"/>
              </w:rPr>
              <w:t xml:space="preserve">‘only </w:t>
            </w:r>
            <w:r w:rsidRPr="00B56374">
              <w:rPr>
                <w:rFonts w:ascii="Times New Roman" w:eastAsia="Times New Roman" w:hAnsi="Times New Roman" w:cs="Times New Roman"/>
                <w:szCs w:val="24"/>
                <w:lang w:eastAsia="en-GB"/>
              </w:rPr>
              <w:t>precluded picketing</w:t>
            </w:r>
            <w:r>
              <w:rPr>
                <w:rFonts w:ascii="Times New Roman" w:eastAsia="Times New Roman" w:hAnsi="Times New Roman" w:cs="Times New Roman"/>
                <w:szCs w:val="24"/>
                <w:lang w:eastAsia="en-GB"/>
              </w:rPr>
              <w:t xml:space="preserve">’ without requiring the staff of the courts ‘to </w:t>
            </w:r>
            <w:r w:rsidRPr="00B56374">
              <w:rPr>
                <w:rFonts w:ascii="Times New Roman" w:eastAsia="Times New Roman" w:hAnsi="Times New Roman" w:cs="Times New Roman"/>
                <w:szCs w:val="24"/>
                <w:lang w:eastAsia="en-GB"/>
              </w:rPr>
              <w:t>resume the discharge of their duties</w:t>
            </w:r>
            <w:r>
              <w:rPr>
                <w:rFonts w:ascii="Times New Roman" w:eastAsia="Times New Roman" w:hAnsi="Times New Roman" w:cs="Times New Roman"/>
                <w:szCs w:val="24"/>
                <w:lang w:eastAsia="en-GB"/>
              </w:rPr>
              <w:t>’ (para.13)</w:t>
            </w:r>
            <w:r w:rsidRPr="00B56374">
              <w:rPr>
                <w:rFonts w:ascii="Times New Roman" w:eastAsia="Times New Roman" w:hAnsi="Times New Roman" w:cs="Times New Roman"/>
                <w:szCs w:val="24"/>
                <w:lang w:eastAsia="en-GB"/>
              </w:rPr>
              <w:t xml:space="preserve">. </w:t>
            </w:r>
            <w:r w:rsidR="00F22B5A">
              <w:rPr>
                <w:rFonts w:ascii="Times New Roman" w:eastAsia="Times New Roman" w:hAnsi="Times New Roman" w:cs="Times New Roman"/>
                <w:szCs w:val="24"/>
                <w:lang w:eastAsia="en-GB"/>
              </w:rPr>
              <w:t>‘</w:t>
            </w:r>
            <w:r w:rsidRPr="00B56374">
              <w:rPr>
                <w:rFonts w:ascii="Times New Roman" w:eastAsia="Times New Roman" w:hAnsi="Times New Roman" w:cs="Times New Roman"/>
                <w:szCs w:val="24"/>
                <w:lang w:eastAsia="en-GB"/>
              </w:rPr>
              <w:t>When the Union commenced the strike at midnight on October 31, 1983 against the Government of British Columbia the services of all government employees were withdrawn except certain excluded supervisory personnel and some who were required for the performance of essential services.</w:t>
            </w:r>
            <w:r w:rsidR="00F22B5A">
              <w:rPr>
                <w:rFonts w:ascii="Times New Roman" w:eastAsia="Times New Roman" w:hAnsi="Times New Roman" w:cs="Times New Roman"/>
                <w:szCs w:val="24"/>
                <w:lang w:eastAsia="en-GB"/>
              </w:rPr>
              <w:t>’ (para.13)</w:t>
            </w:r>
            <w:r w:rsidRPr="00B56374">
              <w:rPr>
                <w:rFonts w:ascii="Times New Roman" w:eastAsia="Times New Roman" w:hAnsi="Times New Roman" w:cs="Times New Roman"/>
                <w:szCs w:val="24"/>
                <w:lang w:eastAsia="en-GB"/>
              </w:rPr>
              <w:t xml:space="preserve"> </w:t>
            </w:r>
          </w:p>
        </w:tc>
      </w:tr>
    </w:tbl>
    <w:p w:rsidR="00B56374" w:rsidRDefault="00B56374" w:rsidP="0015436E">
      <w:pPr>
        <w:rPr>
          <w:rFonts w:ascii="Times New Roman" w:hAnsi="Times New Roman" w:cs="Times New Roman"/>
          <w:b/>
        </w:rPr>
      </w:pPr>
    </w:p>
    <w:p w:rsidR="0015436E" w:rsidRPr="00BB5181" w:rsidRDefault="0015436E" w:rsidP="0015436E">
      <w:pPr>
        <w:rPr>
          <w:rFonts w:ascii="Times New Roman" w:hAnsi="Times New Roman" w:cs="Times New Roman"/>
          <w:b/>
        </w:rPr>
      </w:pPr>
      <w:r w:rsidRPr="00BB5181">
        <w:rPr>
          <w:rFonts w:ascii="Times New Roman" w:hAnsi="Times New Roman" w:cs="Times New Roman"/>
          <w:b/>
        </w:rPr>
        <w:t>Decision:</w:t>
      </w:r>
    </w:p>
    <w:p w:rsidR="00F22B5A" w:rsidRDefault="00F22B5A" w:rsidP="00D15B3C">
      <w:pPr>
        <w:jc w:val="both"/>
        <w:rPr>
          <w:rFonts w:ascii="Times New Roman" w:hAnsi="Times New Roman" w:cs="Times New Roman"/>
        </w:rPr>
      </w:pPr>
      <w:r>
        <w:rPr>
          <w:rFonts w:ascii="Times New Roman" w:hAnsi="Times New Roman" w:cs="Times New Roman"/>
        </w:rPr>
        <w:t>‘</w:t>
      </w:r>
      <w:r w:rsidRPr="00F22B5A">
        <w:rPr>
          <w:rFonts w:ascii="Times New Roman" w:hAnsi="Times New Roman" w:cs="Times New Roman"/>
        </w:rPr>
        <w:t>The order by the Chief Justice of the Supreme Court of British Columbia dated November 1, 1983 restraining picketing and other activities within the precincts of all court</w:t>
      </w:r>
      <w:r w:rsidRPr="00F22B5A">
        <w:rPr>
          <w:rFonts w:ascii="Cambria Math" w:hAnsi="Cambria Math" w:cs="Cambria Math"/>
        </w:rPr>
        <w:t>‑</w:t>
      </w:r>
      <w:r w:rsidRPr="00F22B5A">
        <w:rPr>
          <w:rFonts w:ascii="Times New Roman" w:hAnsi="Times New Roman" w:cs="Times New Roman"/>
        </w:rPr>
        <w:t xml:space="preserve">houses in British Columbia did infringe or deny </w:t>
      </w:r>
      <w:r>
        <w:rPr>
          <w:rFonts w:ascii="Times New Roman" w:hAnsi="Times New Roman" w:cs="Times New Roman"/>
        </w:rPr>
        <w:t>the freedom of assembly as</w:t>
      </w:r>
      <w:r w:rsidRPr="00F22B5A">
        <w:rPr>
          <w:rFonts w:ascii="Times New Roman" w:hAnsi="Times New Roman" w:cs="Times New Roman"/>
        </w:rPr>
        <w:t xml:space="preserve"> guaranteed by s. 2 (b)</w:t>
      </w:r>
      <w:r>
        <w:rPr>
          <w:rFonts w:ascii="Times New Roman" w:hAnsi="Times New Roman" w:cs="Times New Roman"/>
        </w:rPr>
        <w:t xml:space="preserve"> of the Charter’ (para.73). </w:t>
      </w:r>
    </w:p>
    <w:p w:rsidR="0015436E" w:rsidRPr="005510E2" w:rsidRDefault="0015436E" w:rsidP="0015436E">
      <w:pPr>
        <w:rPr>
          <w:b/>
        </w:rPr>
      </w:pPr>
      <w:r w:rsidRPr="005510E2">
        <w:rPr>
          <w:b/>
        </w:rPr>
        <w:t>Resources:</w:t>
      </w:r>
    </w:p>
    <w:p w:rsidR="0015436E" w:rsidRDefault="00375DC3" w:rsidP="0015436E">
      <w:hyperlink r:id="rId5" w:history="1">
        <w:r w:rsidR="0015436E">
          <w:rPr>
            <w:rStyle w:val="Hyperlink"/>
          </w:rPr>
          <w:t>Judgment of the Court</w:t>
        </w:r>
      </w:hyperlink>
      <w:r w:rsidR="0015436E">
        <w:t xml:space="preserve">  </w:t>
      </w:r>
    </w:p>
    <w:p w:rsidR="0015436E" w:rsidRDefault="0015436E"/>
    <w:p w:rsidR="009029EE" w:rsidRDefault="009029EE"/>
    <w:p w:rsidR="009029EE" w:rsidRDefault="009029EE"/>
    <w:p w:rsidR="009029EE" w:rsidRDefault="009029EE"/>
    <w:p w:rsidR="009029EE" w:rsidRDefault="009029EE"/>
    <w:p w:rsidR="009029EE" w:rsidRDefault="009029EE"/>
    <w:p w:rsidR="009029EE" w:rsidRDefault="009029EE"/>
    <w:p w:rsidR="009029EE" w:rsidRDefault="009029EE"/>
    <w:p w:rsidR="009029EE" w:rsidRPr="00974340" w:rsidRDefault="009029EE" w:rsidP="00D15B3C">
      <w:pPr>
        <w:jc w:val="both"/>
        <w:rPr>
          <w:rFonts w:ascii="Times New Roman" w:hAnsi="Times New Roman" w:cs="Times New Roman"/>
        </w:rPr>
      </w:pPr>
      <w:r w:rsidRPr="00974340">
        <w:rPr>
          <w:rFonts w:ascii="Times New Roman" w:hAnsi="Times New Roman" w:cs="Times New Roman"/>
          <w:b/>
          <w:u w:val="single"/>
        </w:rPr>
        <w:lastRenderedPageBreak/>
        <w:t>Case title:</w:t>
      </w:r>
      <w:r w:rsidRPr="00974340">
        <w:rPr>
          <w:rFonts w:ascii="Times New Roman" w:hAnsi="Times New Roman" w:cs="Times New Roman"/>
          <w:b/>
        </w:rPr>
        <w:t xml:space="preserve"> </w:t>
      </w:r>
      <w:r w:rsidR="004B0EFE" w:rsidRPr="00CA0A9A">
        <w:rPr>
          <w:rFonts w:ascii="Times New Roman" w:hAnsi="Times New Roman" w:cs="Times New Roman"/>
        </w:rPr>
        <w:t xml:space="preserve">Suzanne Smiley v. </w:t>
      </w:r>
      <w:r w:rsidR="00F43E02">
        <w:rPr>
          <w:rFonts w:ascii="Times New Roman" w:hAnsi="Times New Roman" w:cs="Times New Roman"/>
        </w:rPr>
        <w:t>the City of Ottawa</w:t>
      </w:r>
    </w:p>
    <w:p w:rsidR="004B0EFE" w:rsidRDefault="009029EE" w:rsidP="00D15B3C">
      <w:pPr>
        <w:jc w:val="both"/>
        <w:rPr>
          <w:rFonts w:ascii="Times New Roman" w:hAnsi="Times New Roman" w:cs="Times New Roman"/>
        </w:rPr>
      </w:pPr>
      <w:r w:rsidRPr="00974340">
        <w:rPr>
          <w:rFonts w:ascii="Times New Roman" w:hAnsi="Times New Roman" w:cs="Times New Roman"/>
          <w:b/>
          <w:u w:val="single"/>
        </w:rPr>
        <w:t>Case Number:</w:t>
      </w:r>
      <w:r w:rsidR="004B0EFE">
        <w:rPr>
          <w:rFonts w:ascii="Times New Roman" w:hAnsi="Times New Roman" w:cs="Times New Roman"/>
        </w:rPr>
        <w:t xml:space="preserve"> 2012 ONCJ 479 (</w:t>
      </w:r>
      <w:proofErr w:type="spellStart"/>
      <w:r w:rsidR="004B0EFE">
        <w:rPr>
          <w:rFonts w:ascii="Times New Roman" w:hAnsi="Times New Roman" w:cs="Times New Roman"/>
        </w:rPr>
        <w:t>CanLII</w:t>
      </w:r>
      <w:proofErr w:type="spellEnd"/>
      <w:r w:rsidR="004B0EFE">
        <w:rPr>
          <w:rFonts w:ascii="Times New Roman" w:hAnsi="Times New Roman" w:cs="Times New Roman"/>
        </w:rPr>
        <w:t>)</w:t>
      </w:r>
    </w:p>
    <w:p w:rsidR="009029EE" w:rsidRPr="00974340" w:rsidRDefault="009029EE" w:rsidP="00D15B3C">
      <w:pPr>
        <w:jc w:val="both"/>
        <w:rPr>
          <w:rFonts w:ascii="Times New Roman" w:hAnsi="Times New Roman" w:cs="Times New Roman"/>
        </w:rPr>
      </w:pPr>
      <w:r w:rsidRPr="00974340">
        <w:rPr>
          <w:rFonts w:ascii="Times New Roman" w:hAnsi="Times New Roman" w:cs="Times New Roman"/>
          <w:b/>
          <w:u w:val="single"/>
        </w:rPr>
        <w:t>Country or Region:</w:t>
      </w:r>
      <w:r w:rsidRPr="00974340">
        <w:rPr>
          <w:rFonts w:ascii="Times New Roman" w:hAnsi="Times New Roman" w:cs="Times New Roman"/>
        </w:rPr>
        <w:t xml:space="preserve"> Canada, Ontario </w:t>
      </w:r>
      <w:r w:rsidRPr="00974340">
        <w:rPr>
          <w:rFonts w:ascii="Times New Roman" w:hAnsi="Times New Roman" w:cs="Times New Roman"/>
        </w:rPr>
        <w:tab/>
      </w:r>
      <w:r w:rsidRPr="00974340">
        <w:rPr>
          <w:rFonts w:ascii="Times New Roman" w:hAnsi="Times New Roman" w:cs="Times New Roman"/>
        </w:rPr>
        <w:tab/>
      </w:r>
      <w:r w:rsidRPr="00974340">
        <w:rPr>
          <w:rFonts w:ascii="Times New Roman" w:hAnsi="Times New Roman" w:cs="Times New Roman"/>
        </w:rPr>
        <w:tab/>
      </w:r>
    </w:p>
    <w:p w:rsidR="009029EE" w:rsidRPr="00974340" w:rsidRDefault="009029EE" w:rsidP="00D15B3C">
      <w:pPr>
        <w:jc w:val="both"/>
        <w:rPr>
          <w:rFonts w:ascii="Times New Roman" w:hAnsi="Times New Roman" w:cs="Times New Roman"/>
        </w:rPr>
      </w:pPr>
      <w:r w:rsidRPr="00974340">
        <w:rPr>
          <w:rFonts w:ascii="Times New Roman" w:hAnsi="Times New Roman" w:cs="Times New Roman"/>
          <w:b/>
          <w:u w:val="single"/>
        </w:rPr>
        <w:t>Name &amp; status of court or arbiter:</w:t>
      </w:r>
      <w:r w:rsidRPr="00974340">
        <w:rPr>
          <w:rFonts w:ascii="Times New Roman" w:hAnsi="Times New Roman" w:cs="Times New Roman"/>
        </w:rPr>
        <w:t xml:space="preserve"> </w:t>
      </w:r>
      <w:r w:rsidR="00F43E02">
        <w:rPr>
          <w:rFonts w:ascii="Times New Roman" w:hAnsi="Times New Roman" w:cs="Times New Roman"/>
        </w:rPr>
        <w:t>Ontario</w:t>
      </w:r>
      <w:r w:rsidRPr="00974340">
        <w:rPr>
          <w:rFonts w:ascii="Times New Roman" w:hAnsi="Times New Roman" w:cs="Times New Roman"/>
        </w:rPr>
        <w:t xml:space="preserve"> Court </w:t>
      </w:r>
      <w:r>
        <w:rPr>
          <w:rFonts w:ascii="Times New Roman" w:hAnsi="Times New Roman" w:cs="Times New Roman"/>
        </w:rPr>
        <w:t xml:space="preserve">of </w:t>
      </w:r>
      <w:r w:rsidR="00F43E02">
        <w:rPr>
          <w:rFonts w:ascii="Times New Roman" w:hAnsi="Times New Roman" w:cs="Times New Roman"/>
        </w:rPr>
        <w:t>Justice</w:t>
      </w:r>
      <w:r w:rsidR="00D15B3C">
        <w:rPr>
          <w:rFonts w:ascii="Times New Roman" w:hAnsi="Times New Roman" w:cs="Times New Roman"/>
        </w:rPr>
        <w:t xml:space="preserve">– reviewable by Court of Appeal of Ontario </w:t>
      </w:r>
    </w:p>
    <w:p w:rsidR="009029EE" w:rsidRPr="00974340" w:rsidRDefault="009029EE" w:rsidP="00D15B3C">
      <w:pPr>
        <w:jc w:val="both"/>
        <w:rPr>
          <w:rFonts w:ascii="Times New Roman" w:hAnsi="Times New Roman" w:cs="Times New Roman"/>
        </w:rPr>
      </w:pPr>
      <w:r w:rsidRPr="00974340">
        <w:rPr>
          <w:rFonts w:ascii="Times New Roman" w:hAnsi="Times New Roman" w:cs="Times New Roman"/>
          <w:b/>
          <w:u w:val="single"/>
        </w:rPr>
        <w:t>Date of decision:</w:t>
      </w:r>
      <w:r w:rsidRPr="00974340">
        <w:rPr>
          <w:rFonts w:ascii="Times New Roman" w:hAnsi="Times New Roman" w:cs="Times New Roman"/>
          <w:b/>
        </w:rPr>
        <w:t xml:space="preserve"> </w:t>
      </w:r>
      <w:r w:rsidR="00F43E02">
        <w:rPr>
          <w:rFonts w:ascii="Times New Roman" w:hAnsi="Times New Roman" w:cs="Times New Roman"/>
        </w:rPr>
        <w:t>16 June 2012</w:t>
      </w:r>
      <w:r w:rsidRPr="00974340">
        <w:rPr>
          <w:rFonts w:ascii="Times New Roman" w:hAnsi="Times New Roman" w:cs="Times New Roman"/>
        </w:rPr>
        <w:tab/>
      </w:r>
      <w:r w:rsidRPr="00974340">
        <w:rPr>
          <w:rFonts w:ascii="Times New Roman" w:hAnsi="Times New Roman" w:cs="Times New Roman"/>
        </w:rPr>
        <w:tab/>
      </w:r>
    </w:p>
    <w:p w:rsidR="009029EE" w:rsidRPr="00974340" w:rsidRDefault="009029EE" w:rsidP="00D15B3C">
      <w:pPr>
        <w:jc w:val="both"/>
        <w:rPr>
          <w:rFonts w:ascii="Times New Roman" w:hAnsi="Times New Roman" w:cs="Times New Roman"/>
        </w:rPr>
      </w:pPr>
      <w:r w:rsidRPr="00974340">
        <w:rPr>
          <w:rFonts w:ascii="Times New Roman" w:hAnsi="Times New Roman" w:cs="Times New Roman"/>
          <w:b/>
          <w:u w:val="single"/>
        </w:rPr>
        <w:t>Relevant law:</w:t>
      </w:r>
      <w:r w:rsidRPr="00974340">
        <w:rPr>
          <w:rFonts w:ascii="Times New Roman" w:hAnsi="Times New Roman" w:cs="Times New Roman"/>
        </w:rPr>
        <w:tab/>
      </w:r>
      <w:r>
        <w:rPr>
          <w:rFonts w:ascii="Times New Roman" w:hAnsi="Times New Roman" w:cs="Times New Roman"/>
        </w:rPr>
        <w:t xml:space="preserve">Canadian </w:t>
      </w:r>
      <w:r w:rsidRPr="00974340">
        <w:rPr>
          <w:rFonts w:ascii="Times New Roman" w:hAnsi="Times New Roman" w:cs="Times New Roman"/>
        </w:rPr>
        <w:t xml:space="preserve">Charter of rights and freedoms, section 2(c) (freedom of assembly) </w:t>
      </w:r>
    </w:p>
    <w:p w:rsidR="009029EE" w:rsidRPr="0015436E" w:rsidRDefault="009029EE" w:rsidP="00D15B3C">
      <w:pPr>
        <w:jc w:val="both"/>
        <w:rPr>
          <w:rFonts w:ascii="Times New Roman" w:hAnsi="Times New Roman" w:cs="Times New Roman"/>
        </w:rPr>
      </w:pPr>
      <w:r w:rsidRPr="00974340">
        <w:rPr>
          <w:rFonts w:ascii="Times New Roman" w:hAnsi="Times New Roman" w:cs="Times New Roman"/>
          <w:b/>
          <w:u w:val="single"/>
        </w:rPr>
        <w:t>Decision:</w:t>
      </w:r>
      <w:r w:rsidRPr="00974340">
        <w:rPr>
          <w:rFonts w:ascii="Times New Roman" w:hAnsi="Times New Roman" w:cs="Times New Roman"/>
        </w:rPr>
        <w:t xml:space="preserve">  ‘</w:t>
      </w:r>
      <w:r w:rsidR="00375DC3">
        <w:rPr>
          <w:rFonts w:ascii="Times New Roman" w:hAnsi="Times New Roman" w:cs="Times New Roman"/>
        </w:rPr>
        <w:t>Mrs. Smiley</w:t>
      </w:r>
      <w:r w:rsidR="00375DC3" w:rsidRPr="00D15B3C">
        <w:rPr>
          <w:rFonts w:ascii="Times New Roman" w:hAnsi="Times New Roman" w:cs="Times New Roman"/>
        </w:rPr>
        <w:t xml:space="preserve"> occupied the park over a 48 hour period including the time of the Notice of Trespass. Upon the arrival of the police and given instructions to vacate the property, she refused and was therefore legally trespassed.</w:t>
      </w:r>
      <w:r w:rsidR="00375DC3">
        <w:rPr>
          <w:rFonts w:ascii="Times New Roman" w:hAnsi="Times New Roman" w:cs="Times New Roman"/>
        </w:rPr>
        <w:t>’</w:t>
      </w:r>
      <w:bookmarkStart w:id="0" w:name="_GoBack"/>
      <w:bookmarkEnd w:id="0"/>
    </w:p>
    <w:p w:rsidR="009029EE" w:rsidRPr="00974340" w:rsidRDefault="009029EE" w:rsidP="009029EE">
      <w:pPr>
        <w:rPr>
          <w:rFonts w:ascii="Times New Roman" w:hAnsi="Times New Roman" w:cs="Times New Roman"/>
          <w:b/>
          <w:u w:val="single"/>
        </w:rPr>
      </w:pPr>
      <w:r w:rsidRPr="00974340">
        <w:rPr>
          <w:rFonts w:ascii="Times New Roman" w:hAnsi="Times New Roman" w:cs="Times New Roman"/>
          <w:b/>
          <w:u w:val="single"/>
        </w:rPr>
        <w:t>Summary:</w:t>
      </w:r>
    </w:p>
    <w:p w:rsidR="009029EE" w:rsidRPr="00974340" w:rsidRDefault="009029EE" w:rsidP="009029EE">
      <w:pPr>
        <w:rPr>
          <w:rFonts w:ascii="Times New Roman" w:hAnsi="Times New Roman" w:cs="Times New Roman"/>
          <w:b/>
          <w:lang w:val="el-GR"/>
        </w:rPr>
      </w:pPr>
      <w:proofErr w:type="gramStart"/>
      <w:r w:rsidRPr="00974340">
        <w:rPr>
          <w:rFonts w:ascii="Times New Roman" w:hAnsi="Times New Roman" w:cs="Times New Roman"/>
          <w:b/>
        </w:rPr>
        <w:t>a)</w:t>
      </w:r>
      <w:proofErr w:type="gramEnd"/>
      <w:r w:rsidRPr="00974340">
        <w:rPr>
          <w:rFonts w:ascii="Times New Roman" w:hAnsi="Times New Roman" w:cs="Times New Roman"/>
          <w:b/>
        </w:rPr>
        <w:t>Facts:</w:t>
      </w:r>
      <w:r w:rsidRPr="00974340">
        <w:rPr>
          <w:rFonts w:ascii="Times New Roman" w:hAnsi="Times New Roman" w:cs="Times New Roman"/>
          <w:b/>
          <w:lang w:val="el-GR"/>
        </w:rPr>
        <w:t xml:space="preserve"> </w:t>
      </w:r>
    </w:p>
    <w:tbl>
      <w:tblPr>
        <w:tblW w:w="9053" w:type="dxa"/>
        <w:jc w:val="center"/>
        <w:tblCellSpacing w:w="0" w:type="dxa"/>
        <w:tblCellMar>
          <w:left w:w="0" w:type="dxa"/>
          <w:right w:w="0" w:type="dxa"/>
        </w:tblCellMar>
        <w:tblLook w:val="04A0" w:firstRow="1" w:lastRow="0" w:firstColumn="1" w:lastColumn="0" w:noHBand="0" w:noVBand="1"/>
      </w:tblPr>
      <w:tblGrid>
        <w:gridCol w:w="9053"/>
      </w:tblGrid>
      <w:tr w:rsidR="009029EE" w:rsidRPr="004404B5" w:rsidTr="002F1E64">
        <w:trPr>
          <w:trHeight w:val="2405"/>
          <w:tblCellSpacing w:w="0" w:type="dxa"/>
          <w:jc w:val="center"/>
        </w:trPr>
        <w:tc>
          <w:tcPr>
            <w:tcW w:w="9053" w:type="dxa"/>
          </w:tcPr>
          <w:p w:rsidR="009029EE" w:rsidRPr="004404B5" w:rsidRDefault="00F43E02" w:rsidP="00D15B3C">
            <w:pPr>
              <w:spacing w:before="100" w:beforeAutospacing="1" w:after="100" w:afterAutospacing="1" w:line="240" w:lineRule="auto"/>
              <w:jc w:val="both"/>
              <w:rPr>
                <w:rFonts w:ascii="Times New Roman" w:eastAsia="Times New Roman" w:hAnsi="Times New Roman" w:cs="Times New Roman"/>
                <w:szCs w:val="24"/>
                <w:lang w:eastAsia="en-GB"/>
              </w:rPr>
            </w:pPr>
            <w:r w:rsidRPr="00F43E02">
              <w:rPr>
                <w:rFonts w:ascii="Times New Roman" w:eastAsia="Times New Roman" w:hAnsi="Times New Roman" w:cs="Times New Roman"/>
                <w:szCs w:val="24"/>
                <w:lang w:eastAsia="en-GB"/>
              </w:rPr>
              <w:t xml:space="preserve">On November 23, 2011, Suzanne Smiley, took </w:t>
            </w:r>
            <w:r>
              <w:rPr>
                <w:rFonts w:ascii="Times New Roman" w:eastAsia="Times New Roman" w:hAnsi="Times New Roman" w:cs="Times New Roman"/>
                <w:szCs w:val="24"/>
                <w:lang w:eastAsia="en-GB"/>
              </w:rPr>
              <w:t xml:space="preserve">part in an occupation (i.e. </w:t>
            </w:r>
            <w:r w:rsidRPr="00F43E02">
              <w:rPr>
                <w:rFonts w:ascii="Times New Roman" w:eastAsia="Times New Roman" w:hAnsi="Times New Roman" w:cs="Times New Roman"/>
                <w:szCs w:val="24"/>
                <w:lang w:eastAsia="en-GB"/>
              </w:rPr>
              <w:t>physically occupied a public space often through the use of t</w:t>
            </w:r>
            <w:r>
              <w:rPr>
                <w:rFonts w:ascii="Times New Roman" w:eastAsia="Times New Roman" w:hAnsi="Times New Roman" w:cs="Times New Roman"/>
                <w:szCs w:val="24"/>
                <w:lang w:eastAsia="en-GB"/>
              </w:rPr>
              <w:t xml:space="preserve">ents and other built structure) in Confederation Park, which is </w:t>
            </w:r>
            <w:r w:rsidRPr="00F43E02">
              <w:rPr>
                <w:rFonts w:ascii="Times New Roman" w:eastAsia="Times New Roman" w:hAnsi="Times New Roman" w:cs="Times New Roman"/>
                <w:szCs w:val="24"/>
                <w:lang w:eastAsia="en-GB"/>
              </w:rPr>
              <w:t>across from the Ontario and Superior Courts of Justice and near Ottawa City Hall</w:t>
            </w:r>
            <w:r>
              <w:rPr>
                <w:rFonts w:ascii="Times New Roman" w:eastAsia="Times New Roman" w:hAnsi="Times New Roman" w:cs="Times New Roman"/>
                <w:szCs w:val="24"/>
                <w:lang w:eastAsia="en-GB"/>
              </w:rPr>
              <w:t xml:space="preserve"> and</w:t>
            </w:r>
            <w:r w:rsidRPr="00F43E02">
              <w:rPr>
                <w:rFonts w:ascii="Times New Roman" w:eastAsia="Times New Roman" w:hAnsi="Times New Roman" w:cs="Times New Roman"/>
                <w:szCs w:val="24"/>
                <w:lang w:eastAsia="en-GB"/>
              </w:rPr>
              <w:t xml:space="preserve"> down the street from the Cenotaph, the National Arts Centre, the British Embassy, and the House of Commons and Senate of Canada.</w:t>
            </w:r>
            <w:r>
              <w:rPr>
                <w:rFonts w:ascii="Times New Roman" w:eastAsia="Times New Roman" w:hAnsi="Times New Roman" w:cs="Times New Roman"/>
                <w:szCs w:val="24"/>
                <w:lang w:eastAsia="en-GB"/>
              </w:rPr>
              <w:t xml:space="preserve"> (</w:t>
            </w:r>
            <w:proofErr w:type="gramStart"/>
            <w:r>
              <w:rPr>
                <w:rFonts w:ascii="Times New Roman" w:eastAsia="Times New Roman" w:hAnsi="Times New Roman" w:cs="Times New Roman"/>
                <w:szCs w:val="24"/>
                <w:lang w:eastAsia="en-GB"/>
              </w:rPr>
              <w:t>paras</w:t>
            </w:r>
            <w:proofErr w:type="gramEnd"/>
            <w:r>
              <w:rPr>
                <w:rFonts w:ascii="Times New Roman" w:eastAsia="Times New Roman" w:hAnsi="Times New Roman" w:cs="Times New Roman"/>
                <w:szCs w:val="24"/>
                <w:lang w:eastAsia="en-GB"/>
              </w:rPr>
              <w:t>. 1-4)  T</w:t>
            </w:r>
            <w:r w:rsidRPr="00F43E02">
              <w:rPr>
                <w:rFonts w:ascii="Times New Roman" w:eastAsia="Times New Roman" w:hAnsi="Times New Roman" w:cs="Times New Roman"/>
                <w:szCs w:val="24"/>
                <w:lang w:eastAsia="en-GB"/>
              </w:rPr>
              <w:t>he Ottawa Police Service</w:t>
            </w:r>
            <w:r>
              <w:rPr>
                <w:rFonts w:ascii="Times New Roman" w:eastAsia="Times New Roman" w:hAnsi="Times New Roman" w:cs="Times New Roman"/>
                <w:szCs w:val="24"/>
                <w:lang w:eastAsia="en-GB"/>
              </w:rPr>
              <w:t xml:space="preserve"> warned</w:t>
            </w:r>
            <w:r w:rsidRPr="00F43E02">
              <w:rPr>
                <w:rFonts w:ascii="Times New Roman" w:eastAsia="Times New Roman" w:hAnsi="Times New Roman" w:cs="Times New Roman"/>
                <w:szCs w:val="24"/>
                <w:lang w:eastAsia="en-GB"/>
              </w:rPr>
              <w:t xml:space="preserve"> participants that </w:t>
            </w:r>
            <w:r>
              <w:rPr>
                <w:rFonts w:ascii="Times New Roman" w:eastAsia="Times New Roman" w:hAnsi="Times New Roman" w:cs="Times New Roman"/>
                <w:szCs w:val="24"/>
                <w:lang w:eastAsia="en-GB"/>
              </w:rPr>
              <w:t>‘</w:t>
            </w:r>
            <w:r w:rsidRPr="00F43E02">
              <w:rPr>
                <w:rFonts w:ascii="Times New Roman" w:eastAsia="Times New Roman" w:hAnsi="Times New Roman" w:cs="Times New Roman"/>
                <w:szCs w:val="24"/>
                <w:lang w:eastAsia="en-GB"/>
              </w:rPr>
              <w:t>their time</w:t>
            </w:r>
            <w:r>
              <w:rPr>
                <w:rFonts w:ascii="Times New Roman" w:eastAsia="Times New Roman" w:hAnsi="Times New Roman" w:cs="Times New Roman"/>
                <w:szCs w:val="24"/>
                <w:lang w:eastAsia="en-GB"/>
              </w:rPr>
              <w:t xml:space="preserve"> was up in the park, given a num</w:t>
            </w:r>
            <w:r w:rsidRPr="00F43E02">
              <w:rPr>
                <w:rFonts w:ascii="Times New Roman" w:eastAsia="Times New Roman" w:hAnsi="Times New Roman" w:cs="Times New Roman"/>
                <w:szCs w:val="24"/>
                <w:lang w:eastAsia="en-GB"/>
              </w:rPr>
              <w:t>ber of community and service concerns, and they would have to leave the location.</w:t>
            </w:r>
            <w:r>
              <w:rPr>
                <w:rFonts w:ascii="Times New Roman" w:eastAsia="Times New Roman" w:hAnsi="Times New Roman" w:cs="Times New Roman"/>
                <w:szCs w:val="24"/>
                <w:lang w:eastAsia="en-GB"/>
              </w:rPr>
              <w:t>’ (para.5) ‘</w:t>
            </w:r>
            <w:r w:rsidRPr="00F43E02">
              <w:rPr>
                <w:rFonts w:ascii="Times New Roman" w:eastAsia="Times New Roman" w:hAnsi="Times New Roman" w:cs="Times New Roman"/>
                <w:szCs w:val="24"/>
                <w:lang w:eastAsia="en-GB"/>
              </w:rPr>
              <w:t>She was personally given a directive under the TPA to vacate Confederation Park at 3:25 A.M., on November 23, 2011, and upon her refusal was escorted from the park and given a notice of infraction</w:t>
            </w:r>
            <w:r>
              <w:rPr>
                <w:rFonts w:ascii="Times New Roman" w:eastAsia="Times New Roman" w:hAnsi="Times New Roman" w:cs="Times New Roman"/>
                <w:szCs w:val="24"/>
                <w:lang w:eastAsia="en-GB"/>
              </w:rPr>
              <w:t xml:space="preserve">.’ (para.6) </w:t>
            </w:r>
          </w:p>
        </w:tc>
      </w:tr>
    </w:tbl>
    <w:p w:rsidR="00D15B3C" w:rsidRDefault="009029EE" w:rsidP="00D15B3C">
      <w:pPr>
        <w:rPr>
          <w:rFonts w:ascii="Times New Roman" w:hAnsi="Times New Roman" w:cs="Times New Roman"/>
          <w:b/>
        </w:rPr>
      </w:pPr>
      <w:r w:rsidRPr="00BB5181">
        <w:rPr>
          <w:rFonts w:ascii="Times New Roman" w:hAnsi="Times New Roman" w:cs="Times New Roman"/>
          <w:b/>
        </w:rPr>
        <w:t>Decision:</w:t>
      </w:r>
    </w:p>
    <w:p w:rsidR="00F43E02" w:rsidRPr="00D15B3C" w:rsidRDefault="00F43E02" w:rsidP="00D15B3C">
      <w:pPr>
        <w:rPr>
          <w:rFonts w:ascii="Times New Roman" w:hAnsi="Times New Roman" w:cs="Times New Roman"/>
          <w:b/>
        </w:rPr>
      </w:pPr>
      <w:r>
        <w:rPr>
          <w:rFonts w:ascii="Times New Roman" w:hAnsi="Times New Roman" w:cs="Times New Roman"/>
        </w:rPr>
        <w:t xml:space="preserve">‘The </w:t>
      </w:r>
      <w:r w:rsidRPr="00F43E02">
        <w:rPr>
          <w:rFonts w:ascii="Times New Roman" w:hAnsi="Times New Roman" w:cs="Times New Roman"/>
        </w:rPr>
        <w:t>duly constituted government organizations in a free and democratic society have the right to issue trespass notices and follow through on that action when any person or group disobeys the governing rules, regulations and bylaws which are open to judicial and electoral review.</w:t>
      </w:r>
      <w:r>
        <w:rPr>
          <w:rFonts w:ascii="Times New Roman" w:hAnsi="Times New Roman" w:cs="Times New Roman"/>
        </w:rPr>
        <w:t xml:space="preserve">’ (para.49) </w:t>
      </w:r>
      <w:r w:rsidRPr="00F43E02">
        <w:rPr>
          <w:rFonts w:ascii="Times New Roman" w:hAnsi="Times New Roman" w:cs="Times New Roman"/>
        </w:rPr>
        <w:t xml:space="preserve">Protesters </w:t>
      </w:r>
      <w:r>
        <w:rPr>
          <w:rFonts w:ascii="Times New Roman" w:hAnsi="Times New Roman" w:cs="Times New Roman"/>
        </w:rPr>
        <w:t>are entitled to access public parks</w:t>
      </w:r>
      <w:r w:rsidRPr="00F43E02">
        <w:rPr>
          <w:rFonts w:ascii="Times New Roman" w:hAnsi="Times New Roman" w:cs="Times New Roman"/>
        </w:rPr>
        <w:t xml:space="preserve"> </w:t>
      </w:r>
      <w:r w:rsidR="00D15B3C">
        <w:rPr>
          <w:rFonts w:ascii="Times New Roman" w:hAnsi="Times New Roman" w:cs="Times New Roman"/>
        </w:rPr>
        <w:t>‘</w:t>
      </w:r>
      <w:r w:rsidRPr="00F43E02">
        <w:rPr>
          <w:rFonts w:ascii="Times New Roman" w:hAnsi="Times New Roman" w:cs="Times New Roman"/>
        </w:rPr>
        <w:t>during the normal hours of operation of the pub</w:t>
      </w:r>
      <w:r w:rsidR="00D15B3C">
        <w:rPr>
          <w:rFonts w:ascii="Times New Roman" w:hAnsi="Times New Roman" w:cs="Times New Roman"/>
        </w:rPr>
        <w:t xml:space="preserve">lic place to express themselves’. (para.50) However, this freedom is </w:t>
      </w:r>
      <w:r w:rsidRPr="00F43E02">
        <w:rPr>
          <w:rFonts w:ascii="Times New Roman" w:hAnsi="Times New Roman" w:cs="Times New Roman"/>
        </w:rPr>
        <w:t xml:space="preserve">subject to </w:t>
      </w:r>
      <w:r w:rsidR="00D15B3C">
        <w:rPr>
          <w:rFonts w:ascii="Times New Roman" w:hAnsi="Times New Roman" w:cs="Times New Roman"/>
        </w:rPr>
        <w:t>‘</w:t>
      </w:r>
      <w:r w:rsidRPr="00F43E02">
        <w:rPr>
          <w:rFonts w:ascii="Times New Roman" w:hAnsi="Times New Roman" w:cs="Times New Roman"/>
        </w:rPr>
        <w:t xml:space="preserve">reasonable limits </w:t>
      </w:r>
      <w:r w:rsidR="00D15B3C">
        <w:rPr>
          <w:rFonts w:ascii="Times New Roman" w:hAnsi="Times New Roman" w:cs="Times New Roman"/>
        </w:rPr>
        <w:t>prescribed</w:t>
      </w:r>
      <w:r w:rsidR="00D15B3C" w:rsidRPr="00D15B3C">
        <w:rPr>
          <w:rFonts w:ascii="Times New Roman" w:hAnsi="Times New Roman" w:cs="Times New Roman"/>
        </w:rPr>
        <w:t xml:space="preserve"> by law and are demonstrably justified in a free and democratic society</w:t>
      </w:r>
      <w:r w:rsidR="00D15B3C">
        <w:rPr>
          <w:rFonts w:ascii="Times New Roman" w:hAnsi="Times New Roman" w:cs="Times New Roman"/>
        </w:rPr>
        <w:t>’ (para.51)</w:t>
      </w:r>
      <w:r w:rsidR="00D15B3C" w:rsidRPr="00D15B3C">
        <w:rPr>
          <w:rFonts w:ascii="Times New Roman" w:hAnsi="Times New Roman" w:cs="Times New Roman"/>
        </w:rPr>
        <w:t xml:space="preserve"> </w:t>
      </w:r>
      <w:r w:rsidR="00D15B3C">
        <w:rPr>
          <w:rFonts w:ascii="Times New Roman" w:hAnsi="Times New Roman" w:cs="Times New Roman"/>
        </w:rPr>
        <w:t>‘Mrs. Smiley</w:t>
      </w:r>
      <w:r w:rsidR="00D15B3C" w:rsidRPr="00D15B3C">
        <w:rPr>
          <w:rFonts w:ascii="Times New Roman" w:hAnsi="Times New Roman" w:cs="Times New Roman"/>
        </w:rPr>
        <w:t xml:space="preserve"> occupied the park over a 48 hour period including the time of the Notice of Trespass. Upon the arrival of the police and given instructions to vacate the property, she refused and was therefore legally trespassed.</w:t>
      </w:r>
      <w:r w:rsidR="00D15B3C">
        <w:rPr>
          <w:rFonts w:ascii="Times New Roman" w:hAnsi="Times New Roman" w:cs="Times New Roman"/>
        </w:rPr>
        <w:t>’ (para.56)</w:t>
      </w:r>
    </w:p>
    <w:p w:rsidR="009029EE" w:rsidRPr="005510E2" w:rsidRDefault="009029EE" w:rsidP="009029EE">
      <w:pPr>
        <w:rPr>
          <w:b/>
        </w:rPr>
      </w:pPr>
      <w:r w:rsidRPr="005510E2">
        <w:rPr>
          <w:b/>
        </w:rPr>
        <w:t>Resources:</w:t>
      </w:r>
    </w:p>
    <w:p w:rsidR="009029EE" w:rsidRDefault="00375DC3" w:rsidP="009029EE">
      <w:hyperlink r:id="rId6" w:history="1">
        <w:r w:rsidR="009029EE">
          <w:rPr>
            <w:rStyle w:val="Hyperlink"/>
          </w:rPr>
          <w:t>Judgment of the Court</w:t>
        </w:r>
      </w:hyperlink>
      <w:r w:rsidR="009029EE">
        <w:t xml:space="preserve">  </w:t>
      </w:r>
    </w:p>
    <w:p w:rsidR="009029EE" w:rsidRDefault="009029EE" w:rsidP="009029EE"/>
    <w:p w:rsidR="009029EE" w:rsidRDefault="009029EE"/>
    <w:sectPr w:rsidR="00902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4F8"/>
    <w:rsid w:val="0001037D"/>
    <w:rsid w:val="00011B12"/>
    <w:rsid w:val="00012718"/>
    <w:rsid w:val="00012F47"/>
    <w:rsid w:val="000201B4"/>
    <w:rsid w:val="000211A0"/>
    <w:rsid w:val="000215C0"/>
    <w:rsid w:val="00023B3A"/>
    <w:rsid w:val="00024810"/>
    <w:rsid w:val="00033043"/>
    <w:rsid w:val="00034620"/>
    <w:rsid w:val="00035730"/>
    <w:rsid w:val="00037B4E"/>
    <w:rsid w:val="00043215"/>
    <w:rsid w:val="00045490"/>
    <w:rsid w:val="00051D96"/>
    <w:rsid w:val="00056825"/>
    <w:rsid w:val="00056840"/>
    <w:rsid w:val="00060D66"/>
    <w:rsid w:val="00062EB8"/>
    <w:rsid w:val="0006596B"/>
    <w:rsid w:val="00065C6A"/>
    <w:rsid w:val="0007169E"/>
    <w:rsid w:val="00073F51"/>
    <w:rsid w:val="000744C6"/>
    <w:rsid w:val="000812D2"/>
    <w:rsid w:val="0008472C"/>
    <w:rsid w:val="00084850"/>
    <w:rsid w:val="000867EC"/>
    <w:rsid w:val="00087659"/>
    <w:rsid w:val="00096C9C"/>
    <w:rsid w:val="0009758B"/>
    <w:rsid w:val="00097902"/>
    <w:rsid w:val="000A2AE9"/>
    <w:rsid w:val="000A3BC8"/>
    <w:rsid w:val="000B0125"/>
    <w:rsid w:val="000B264E"/>
    <w:rsid w:val="000B6A31"/>
    <w:rsid w:val="000C02A5"/>
    <w:rsid w:val="000C11FE"/>
    <w:rsid w:val="000C1BED"/>
    <w:rsid w:val="000C1CF4"/>
    <w:rsid w:val="000C3393"/>
    <w:rsid w:val="000C37AF"/>
    <w:rsid w:val="000C4DB1"/>
    <w:rsid w:val="000D02F2"/>
    <w:rsid w:val="000D059E"/>
    <w:rsid w:val="000D1CAA"/>
    <w:rsid w:val="000D5F5C"/>
    <w:rsid w:val="000E0554"/>
    <w:rsid w:val="000E10E8"/>
    <w:rsid w:val="000E7048"/>
    <w:rsid w:val="000F0BA5"/>
    <w:rsid w:val="000F10F6"/>
    <w:rsid w:val="000F2AD1"/>
    <w:rsid w:val="000F3F57"/>
    <w:rsid w:val="000F5F7D"/>
    <w:rsid w:val="000F67B2"/>
    <w:rsid w:val="000F6D5C"/>
    <w:rsid w:val="000F732E"/>
    <w:rsid w:val="000F7E50"/>
    <w:rsid w:val="00107AC7"/>
    <w:rsid w:val="00115919"/>
    <w:rsid w:val="001177DD"/>
    <w:rsid w:val="0012029B"/>
    <w:rsid w:val="001219B5"/>
    <w:rsid w:val="00121F4E"/>
    <w:rsid w:val="00122468"/>
    <w:rsid w:val="00122661"/>
    <w:rsid w:val="00126C78"/>
    <w:rsid w:val="00127753"/>
    <w:rsid w:val="00127CBE"/>
    <w:rsid w:val="00133010"/>
    <w:rsid w:val="00137128"/>
    <w:rsid w:val="001374BF"/>
    <w:rsid w:val="00145A81"/>
    <w:rsid w:val="00146824"/>
    <w:rsid w:val="00146BEC"/>
    <w:rsid w:val="00150028"/>
    <w:rsid w:val="0015423E"/>
    <w:rsid w:val="0015436E"/>
    <w:rsid w:val="00154B68"/>
    <w:rsid w:val="00154C7D"/>
    <w:rsid w:val="00154DC8"/>
    <w:rsid w:val="00160A94"/>
    <w:rsid w:val="00163660"/>
    <w:rsid w:val="00165A78"/>
    <w:rsid w:val="00171841"/>
    <w:rsid w:val="00173744"/>
    <w:rsid w:val="00174ECE"/>
    <w:rsid w:val="00181AF6"/>
    <w:rsid w:val="001979E3"/>
    <w:rsid w:val="00197E93"/>
    <w:rsid w:val="001A1D96"/>
    <w:rsid w:val="001A34B2"/>
    <w:rsid w:val="001A5BDC"/>
    <w:rsid w:val="001A5E3F"/>
    <w:rsid w:val="001A7B61"/>
    <w:rsid w:val="001B04EF"/>
    <w:rsid w:val="001B21E1"/>
    <w:rsid w:val="001B5115"/>
    <w:rsid w:val="001B6A0F"/>
    <w:rsid w:val="001C14D7"/>
    <w:rsid w:val="001C1DF2"/>
    <w:rsid w:val="001C1F49"/>
    <w:rsid w:val="001C5EB6"/>
    <w:rsid w:val="001D20BD"/>
    <w:rsid w:val="001E355E"/>
    <w:rsid w:val="001E3880"/>
    <w:rsid w:val="001E55B0"/>
    <w:rsid w:val="001E7182"/>
    <w:rsid w:val="001F10B4"/>
    <w:rsid w:val="001F7CC6"/>
    <w:rsid w:val="00200BAB"/>
    <w:rsid w:val="002017DA"/>
    <w:rsid w:val="0020645A"/>
    <w:rsid w:val="002116E5"/>
    <w:rsid w:val="00211DE6"/>
    <w:rsid w:val="00213806"/>
    <w:rsid w:val="0021382E"/>
    <w:rsid w:val="002144E2"/>
    <w:rsid w:val="00214604"/>
    <w:rsid w:val="0021659C"/>
    <w:rsid w:val="00217B2C"/>
    <w:rsid w:val="00221F4C"/>
    <w:rsid w:val="00222919"/>
    <w:rsid w:val="002313CE"/>
    <w:rsid w:val="00231D41"/>
    <w:rsid w:val="0023374F"/>
    <w:rsid w:val="00234AAC"/>
    <w:rsid w:val="00234BF0"/>
    <w:rsid w:val="0023709B"/>
    <w:rsid w:val="00243645"/>
    <w:rsid w:val="00244112"/>
    <w:rsid w:val="00245138"/>
    <w:rsid w:val="0024671F"/>
    <w:rsid w:val="002511A2"/>
    <w:rsid w:val="0025338C"/>
    <w:rsid w:val="002540EE"/>
    <w:rsid w:val="00255153"/>
    <w:rsid w:val="0026022C"/>
    <w:rsid w:val="0026114E"/>
    <w:rsid w:val="00264E6E"/>
    <w:rsid w:val="0026571C"/>
    <w:rsid w:val="002678D5"/>
    <w:rsid w:val="002721D7"/>
    <w:rsid w:val="002726F7"/>
    <w:rsid w:val="00273024"/>
    <w:rsid w:val="002778CF"/>
    <w:rsid w:val="00280744"/>
    <w:rsid w:val="00281406"/>
    <w:rsid w:val="00281A6B"/>
    <w:rsid w:val="00282890"/>
    <w:rsid w:val="0028373E"/>
    <w:rsid w:val="0029170E"/>
    <w:rsid w:val="002918BF"/>
    <w:rsid w:val="002927EA"/>
    <w:rsid w:val="00293269"/>
    <w:rsid w:val="0029424F"/>
    <w:rsid w:val="00294D06"/>
    <w:rsid w:val="002A4122"/>
    <w:rsid w:val="002A56FC"/>
    <w:rsid w:val="002B055E"/>
    <w:rsid w:val="002B175D"/>
    <w:rsid w:val="002B455C"/>
    <w:rsid w:val="002B6183"/>
    <w:rsid w:val="002C3460"/>
    <w:rsid w:val="002C7BAC"/>
    <w:rsid w:val="002D16FF"/>
    <w:rsid w:val="002D290A"/>
    <w:rsid w:val="002D3DE1"/>
    <w:rsid w:val="002D55F7"/>
    <w:rsid w:val="002D5871"/>
    <w:rsid w:val="002E0A19"/>
    <w:rsid w:val="002E3DC5"/>
    <w:rsid w:val="002E516B"/>
    <w:rsid w:val="002F0B63"/>
    <w:rsid w:val="002F2E8F"/>
    <w:rsid w:val="002F671A"/>
    <w:rsid w:val="002F7320"/>
    <w:rsid w:val="0030006C"/>
    <w:rsid w:val="00300E35"/>
    <w:rsid w:val="00302609"/>
    <w:rsid w:val="00303084"/>
    <w:rsid w:val="003036BE"/>
    <w:rsid w:val="00304B23"/>
    <w:rsid w:val="00306829"/>
    <w:rsid w:val="00313B71"/>
    <w:rsid w:val="00313D9C"/>
    <w:rsid w:val="00315FBF"/>
    <w:rsid w:val="00320CD8"/>
    <w:rsid w:val="00321A7F"/>
    <w:rsid w:val="00325855"/>
    <w:rsid w:val="00326E5F"/>
    <w:rsid w:val="003311EA"/>
    <w:rsid w:val="003324F7"/>
    <w:rsid w:val="00335331"/>
    <w:rsid w:val="00336210"/>
    <w:rsid w:val="003403ED"/>
    <w:rsid w:val="00341BC7"/>
    <w:rsid w:val="00342186"/>
    <w:rsid w:val="003454BF"/>
    <w:rsid w:val="0034588D"/>
    <w:rsid w:val="00345B01"/>
    <w:rsid w:val="00345D69"/>
    <w:rsid w:val="00345EDF"/>
    <w:rsid w:val="00346BB9"/>
    <w:rsid w:val="00352C2B"/>
    <w:rsid w:val="00353EAF"/>
    <w:rsid w:val="003550F6"/>
    <w:rsid w:val="00355218"/>
    <w:rsid w:val="0035550D"/>
    <w:rsid w:val="00361EAD"/>
    <w:rsid w:val="003637AA"/>
    <w:rsid w:val="00364929"/>
    <w:rsid w:val="0036551B"/>
    <w:rsid w:val="00366BC8"/>
    <w:rsid w:val="00371616"/>
    <w:rsid w:val="0037381F"/>
    <w:rsid w:val="00375DC3"/>
    <w:rsid w:val="00376FEE"/>
    <w:rsid w:val="0037754D"/>
    <w:rsid w:val="0038121F"/>
    <w:rsid w:val="003813FB"/>
    <w:rsid w:val="003834D2"/>
    <w:rsid w:val="00395557"/>
    <w:rsid w:val="003A0148"/>
    <w:rsid w:val="003A3C78"/>
    <w:rsid w:val="003A3E56"/>
    <w:rsid w:val="003A460C"/>
    <w:rsid w:val="003A5B02"/>
    <w:rsid w:val="003A6F0B"/>
    <w:rsid w:val="003A6F45"/>
    <w:rsid w:val="003A7094"/>
    <w:rsid w:val="003A7DF5"/>
    <w:rsid w:val="003B3FD3"/>
    <w:rsid w:val="003B6DD7"/>
    <w:rsid w:val="003B7F29"/>
    <w:rsid w:val="003C076E"/>
    <w:rsid w:val="003C1480"/>
    <w:rsid w:val="003C22B7"/>
    <w:rsid w:val="003D0A96"/>
    <w:rsid w:val="003D231F"/>
    <w:rsid w:val="003D32B8"/>
    <w:rsid w:val="003D359E"/>
    <w:rsid w:val="003D58CB"/>
    <w:rsid w:val="003E4394"/>
    <w:rsid w:val="003E5033"/>
    <w:rsid w:val="003E59F7"/>
    <w:rsid w:val="003F21D1"/>
    <w:rsid w:val="003F21E9"/>
    <w:rsid w:val="003F5ADF"/>
    <w:rsid w:val="00400DD4"/>
    <w:rsid w:val="004020EF"/>
    <w:rsid w:val="004060C1"/>
    <w:rsid w:val="00406BF0"/>
    <w:rsid w:val="0040722E"/>
    <w:rsid w:val="00410A8A"/>
    <w:rsid w:val="00411FFF"/>
    <w:rsid w:val="00414ED0"/>
    <w:rsid w:val="004158A8"/>
    <w:rsid w:val="00420C6F"/>
    <w:rsid w:val="00420D60"/>
    <w:rsid w:val="00422095"/>
    <w:rsid w:val="00424504"/>
    <w:rsid w:val="004252C8"/>
    <w:rsid w:val="004259CE"/>
    <w:rsid w:val="00425C80"/>
    <w:rsid w:val="00426491"/>
    <w:rsid w:val="00432B8D"/>
    <w:rsid w:val="004355AF"/>
    <w:rsid w:val="00435972"/>
    <w:rsid w:val="00436ABA"/>
    <w:rsid w:val="004404B5"/>
    <w:rsid w:val="0044237E"/>
    <w:rsid w:val="004460AF"/>
    <w:rsid w:val="004465B1"/>
    <w:rsid w:val="0044661A"/>
    <w:rsid w:val="0044688B"/>
    <w:rsid w:val="00450F56"/>
    <w:rsid w:val="00452134"/>
    <w:rsid w:val="004531D2"/>
    <w:rsid w:val="00453E73"/>
    <w:rsid w:val="0045669B"/>
    <w:rsid w:val="0045728E"/>
    <w:rsid w:val="00460E2D"/>
    <w:rsid w:val="00462C94"/>
    <w:rsid w:val="00462E7B"/>
    <w:rsid w:val="004630F7"/>
    <w:rsid w:val="004640F7"/>
    <w:rsid w:val="00464DE4"/>
    <w:rsid w:val="00465E39"/>
    <w:rsid w:val="0046707A"/>
    <w:rsid w:val="0047034B"/>
    <w:rsid w:val="00471017"/>
    <w:rsid w:val="00476D5D"/>
    <w:rsid w:val="00477ADE"/>
    <w:rsid w:val="00477CD4"/>
    <w:rsid w:val="00477F80"/>
    <w:rsid w:val="00480DF5"/>
    <w:rsid w:val="004824F1"/>
    <w:rsid w:val="0048250D"/>
    <w:rsid w:val="00484BFB"/>
    <w:rsid w:val="00486AED"/>
    <w:rsid w:val="00486B37"/>
    <w:rsid w:val="00486EC4"/>
    <w:rsid w:val="004965B3"/>
    <w:rsid w:val="004A1A8C"/>
    <w:rsid w:val="004A2A48"/>
    <w:rsid w:val="004A2D2B"/>
    <w:rsid w:val="004B0EFE"/>
    <w:rsid w:val="004B64A9"/>
    <w:rsid w:val="004B7B25"/>
    <w:rsid w:val="004B7B64"/>
    <w:rsid w:val="004C281D"/>
    <w:rsid w:val="004C32C2"/>
    <w:rsid w:val="004C6BF2"/>
    <w:rsid w:val="004C78F7"/>
    <w:rsid w:val="004D0C30"/>
    <w:rsid w:val="004D287B"/>
    <w:rsid w:val="004D34F9"/>
    <w:rsid w:val="004D3F88"/>
    <w:rsid w:val="004D4664"/>
    <w:rsid w:val="004D6421"/>
    <w:rsid w:val="004E1532"/>
    <w:rsid w:val="004E2B10"/>
    <w:rsid w:val="004E4175"/>
    <w:rsid w:val="004E4B58"/>
    <w:rsid w:val="004E4CB0"/>
    <w:rsid w:val="004E633B"/>
    <w:rsid w:val="004F0023"/>
    <w:rsid w:val="004F129A"/>
    <w:rsid w:val="004F2FA3"/>
    <w:rsid w:val="004F6BA0"/>
    <w:rsid w:val="004F7035"/>
    <w:rsid w:val="005030FE"/>
    <w:rsid w:val="00504946"/>
    <w:rsid w:val="005072FB"/>
    <w:rsid w:val="005135EA"/>
    <w:rsid w:val="00514277"/>
    <w:rsid w:val="0051521A"/>
    <w:rsid w:val="00515FD6"/>
    <w:rsid w:val="00517BDC"/>
    <w:rsid w:val="00520F12"/>
    <w:rsid w:val="00522170"/>
    <w:rsid w:val="0052474B"/>
    <w:rsid w:val="00525059"/>
    <w:rsid w:val="00527842"/>
    <w:rsid w:val="00530E35"/>
    <w:rsid w:val="0053425B"/>
    <w:rsid w:val="00534788"/>
    <w:rsid w:val="00534821"/>
    <w:rsid w:val="005369BF"/>
    <w:rsid w:val="005438C6"/>
    <w:rsid w:val="00544B53"/>
    <w:rsid w:val="005469F5"/>
    <w:rsid w:val="005510E2"/>
    <w:rsid w:val="005514FF"/>
    <w:rsid w:val="0055202F"/>
    <w:rsid w:val="00552158"/>
    <w:rsid w:val="00555097"/>
    <w:rsid w:val="00555DB2"/>
    <w:rsid w:val="00561DA1"/>
    <w:rsid w:val="00563B09"/>
    <w:rsid w:val="00564370"/>
    <w:rsid w:val="005707E3"/>
    <w:rsid w:val="00571D98"/>
    <w:rsid w:val="0057446E"/>
    <w:rsid w:val="00575443"/>
    <w:rsid w:val="00582121"/>
    <w:rsid w:val="00584B3C"/>
    <w:rsid w:val="0058506E"/>
    <w:rsid w:val="00585A6E"/>
    <w:rsid w:val="005914AE"/>
    <w:rsid w:val="00593741"/>
    <w:rsid w:val="005938EA"/>
    <w:rsid w:val="005950A2"/>
    <w:rsid w:val="00597979"/>
    <w:rsid w:val="005A3E17"/>
    <w:rsid w:val="005A4303"/>
    <w:rsid w:val="005A584C"/>
    <w:rsid w:val="005A7FCA"/>
    <w:rsid w:val="005B0825"/>
    <w:rsid w:val="005B0C1F"/>
    <w:rsid w:val="005B1CC3"/>
    <w:rsid w:val="005B1ECC"/>
    <w:rsid w:val="005B3F59"/>
    <w:rsid w:val="005B6892"/>
    <w:rsid w:val="005C0395"/>
    <w:rsid w:val="005C1C53"/>
    <w:rsid w:val="005C2F8A"/>
    <w:rsid w:val="005C52D3"/>
    <w:rsid w:val="005C7359"/>
    <w:rsid w:val="005D6980"/>
    <w:rsid w:val="005D6DAD"/>
    <w:rsid w:val="005D7C5F"/>
    <w:rsid w:val="005E2E5C"/>
    <w:rsid w:val="005E6C6C"/>
    <w:rsid w:val="005E72D4"/>
    <w:rsid w:val="005F316E"/>
    <w:rsid w:val="00600278"/>
    <w:rsid w:val="006007DD"/>
    <w:rsid w:val="00602F75"/>
    <w:rsid w:val="00604B86"/>
    <w:rsid w:val="00607F50"/>
    <w:rsid w:val="0061095A"/>
    <w:rsid w:val="006114F2"/>
    <w:rsid w:val="00611824"/>
    <w:rsid w:val="0061447E"/>
    <w:rsid w:val="006145EE"/>
    <w:rsid w:val="00617041"/>
    <w:rsid w:val="00620585"/>
    <w:rsid w:val="006219B7"/>
    <w:rsid w:val="0062305F"/>
    <w:rsid w:val="006255FD"/>
    <w:rsid w:val="00625E55"/>
    <w:rsid w:val="006271C7"/>
    <w:rsid w:val="006278F4"/>
    <w:rsid w:val="00627974"/>
    <w:rsid w:val="00634270"/>
    <w:rsid w:val="00636F6D"/>
    <w:rsid w:val="006407DE"/>
    <w:rsid w:val="00641C16"/>
    <w:rsid w:val="00642373"/>
    <w:rsid w:val="0064577C"/>
    <w:rsid w:val="00652DCE"/>
    <w:rsid w:val="00653429"/>
    <w:rsid w:val="00656F91"/>
    <w:rsid w:val="00665754"/>
    <w:rsid w:val="006706D3"/>
    <w:rsid w:val="00671DF6"/>
    <w:rsid w:val="0069028A"/>
    <w:rsid w:val="006975FA"/>
    <w:rsid w:val="006A12CC"/>
    <w:rsid w:val="006A1697"/>
    <w:rsid w:val="006A179D"/>
    <w:rsid w:val="006A6306"/>
    <w:rsid w:val="006A679B"/>
    <w:rsid w:val="006A68CB"/>
    <w:rsid w:val="006A6E0E"/>
    <w:rsid w:val="006B2D05"/>
    <w:rsid w:val="006B39B0"/>
    <w:rsid w:val="006C0500"/>
    <w:rsid w:val="006C5235"/>
    <w:rsid w:val="006C5C9E"/>
    <w:rsid w:val="006C5E20"/>
    <w:rsid w:val="006D12B3"/>
    <w:rsid w:val="006D3235"/>
    <w:rsid w:val="006D41AB"/>
    <w:rsid w:val="006D7AC3"/>
    <w:rsid w:val="006E10AB"/>
    <w:rsid w:val="006E2F2A"/>
    <w:rsid w:val="006E5F1D"/>
    <w:rsid w:val="006F1837"/>
    <w:rsid w:val="006F3C75"/>
    <w:rsid w:val="00706C68"/>
    <w:rsid w:val="0070736F"/>
    <w:rsid w:val="0070776E"/>
    <w:rsid w:val="0071120E"/>
    <w:rsid w:val="00713070"/>
    <w:rsid w:val="00714CA4"/>
    <w:rsid w:val="00715347"/>
    <w:rsid w:val="00721220"/>
    <w:rsid w:val="00726DA7"/>
    <w:rsid w:val="0072721E"/>
    <w:rsid w:val="007320BD"/>
    <w:rsid w:val="00735BBD"/>
    <w:rsid w:val="00735E7E"/>
    <w:rsid w:val="00741150"/>
    <w:rsid w:val="007422BD"/>
    <w:rsid w:val="00743B1F"/>
    <w:rsid w:val="00745490"/>
    <w:rsid w:val="00750E37"/>
    <w:rsid w:val="007515FF"/>
    <w:rsid w:val="007525F1"/>
    <w:rsid w:val="007610D6"/>
    <w:rsid w:val="00761562"/>
    <w:rsid w:val="00761939"/>
    <w:rsid w:val="00766387"/>
    <w:rsid w:val="00766E2C"/>
    <w:rsid w:val="00771735"/>
    <w:rsid w:val="00771D59"/>
    <w:rsid w:val="00772087"/>
    <w:rsid w:val="00772FF6"/>
    <w:rsid w:val="00777C4B"/>
    <w:rsid w:val="0078078B"/>
    <w:rsid w:val="007928F0"/>
    <w:rsid w:val="007941F1"/>
    <w:rsid w:val="007A0FAC"/>
    <w:rsid w:val="007A2674"/>
    <w:rsid w:val="007A4310"/>
    <w:rsid w:val="007A6259"/>
    <w:rsid w:val="007B090C"/>
    <w:rsid w:val="007B1E62"/>
    <w:rsid w:val="007B2629"/>
    <w:rsid w:val="007B2E00"/>
    <w:rsid w:val="007C080D"/>
    <w:rsid w:val="007C11BE"/>
    <w:rsid w:val="007C2AE2"/>
    <w:rsid w:val="007C3371"/>
    <w:rsid w:val="007C44CD"/>
    <w:rsid w:val="007C4C53"/>
    <w:rsid w:val="007C6721"/>
    <w:rsid w:val="007C6E89"/>
    <w:rsid w:val="007C7BE4"/>
    <w:rsid w:val="007D1FF5"/>
    <w:rsid w:val="007D4DDE"/>
    <w:rsid w:val="007D50F4"/>
    <w:rsid w:val="007D512D"/>
    <w:rsid w:val="007D60B0"/>
    <w:rsid w:val="007D6ECA"/>
    <w:rsid w:val="007D716D"/>
    <w:rsid w:val="007E0BC0"/>
    <w:rsid w:val="007E64F9"/>
    <w:rsid w:val="007F0270"/>
    <w:rsid w:val="007F24D3"/>
    <w:rsid w:val="00803583"/>
    <w:rsid w:val="008039BC"/>
    <w:rsid w:val="00807375"/>
    <w:rsid w:val="008076CD"/>
    <w:rsid w:val="0081071E"/>
    <w:rsid w:val="00812DCF"/>
    <w:rsid w:val="0081524E"/>
    <w:rsid w:val="00817277"/>
    <w:rsid w:val="008219FB"/>
    <w:rsid w:val="00822170"/>
    <w:rsid w:val="0082244C"/>
    <w:rsid w:val="00822DAD"/>
    <w:rsid w:val="00823664"/>
    <w:rsid w:val="00831186"/>
    <w:rsid w:val="0083295B"/>
    <w:rsid w:val="008358C9"/>
    <w:rsid w:val="00836972"/>
    <w:rsid w:val="00836E20"/>
    <w:rsid w:val="008441F9"/>
    <w:rsid w:val="00844FC9"/>
    <w:rsid w:val="00845D6C"/>
    <w:rsid w:val="0085285D"/>
    <w:rsid w:val="0085298F"/>
    <w:rsid w:val="0085546D"/>
    <w:rsid w:val="008567A4"/>
    <w:rsid w:val="00857086"/>
    <w:rsid w:val="00857D26"/>
    <w:rsid w:val="00861FF9"/>
    <w:rsid w:val="008624F8"/>
    <w:rsid w:val="0086591E"/>
    <w:rsid w:val="00867FA5"/>
    <w:rsid w:val="00871483"/>
    <w:rsid w:val="008725DC"/>
    <w:rsid w:val="00882302"/>
    <w:rsid w:val="00885164"/>
    <w:rsid w:val="00886513"/>
    <w:rsid w:val="00887475"/>
    <w:rsid w:val="00891209"/>
    <w:rsid w:val="008924F7"/>
    <w:rsid w:val="008951D8"/>
    <w:rsid w:val="008952C9"/>
    <w:rsid w:val="008957D0"/>
    <w:rsid w:val="00895D5C"/>
    <w:rsid w:val="00896894"/>
    <w:rsid w:val="00897C86"/>
    <w:rsid w:val="008A580D"/>
    <w:rsid w:val="008A6CD7"/>
    <w:rsid w:val="008B1BA5"/>
    <w:rsid w:val="008B32AF"/>
    <w:rsid w:val="008B6E37"/>
    <w:rsid w:val="008C6501"/>
    <w:rsid w:val="008C6DA9"/>
    <w:rsid w:val="008C7356"/>
    <w:rsid w:val="008C7EA8"/>
    <w:rsid w:val="008D1941"/>
    <w:rsid w:val="008D2437"/>
    <w:rsid w:val="008D2E6F"/>
    <w:rsid w:val="008D3279"/>
    <w:rsid w:val="008D5FF4"/>
    <w:rsid w:val="008D6DFA"/>
    <w:rsid w:val="008E02C0"/>
    <w:rsid w:val="008F0AFC"/>
    <w:rsid w:val="008F2001"/>
    <w:rsid w:val="008F3FBF"/>
    <w:rsid w:val="008F694D"/>
    <w:rsid w:val="009029EE"/>
    <w:rsid w:val="009052DA"/>
    <w:rsid w:val="00906703"/>
    <w:rsid w:val="009074B1"/>
    <w:rsid w:val="00907DD6"/>
    <w:rsid w:val="00910201"/>
    <w:rsid w:val="00912E58"/>
    <w:rsid w:val="00913673"/>
    <w:rsid w:val="00916029"/>
    <w:rsid w:val="00921FD2"/>
    <w:rsid w:val="009226D1"/>
    <w:rsid w:val="00927165"/>
    <w:rsid w:val="009272BD"/>
    <w:rsid w:val="009304F5"/>
    <w:rsid w:val="009340C5"/>
    <w:rsid w:val="00941BB3"/>
    <w:rsid w:val="00941E65"/>
    <w:rsid w:val="0094338F"/>
    <w:rsid w:val="009475DD"/>
    <w:rsid w:val="00951312"/>
    <w:rsid w:val="00951692"/>
    <w:rsid w:val="00953F70"/>
    <w:rsid w:val="009541AD"/>
    <w:rsid w:val="0095448A"/>
    <w:rsid w:val="009553A7"/>
    <w:rsid w:val="009615F5"/>
    <w:rsid w:val="009642FE"/>
    <w:rsid w:val="00964D69"/>
    <w:rsid w:val="00973ECA"/>
    <w:rsid w:val="00973F8E"/>
    <w:rsid w:val="00974340"/>
    <w:rsid w:val="00984076"/>
    <w:rsid w:val="0098410E"/>
    <w:rsid w:val="009857DF"/>
    <w:rsid w:val="00987072"/>
    <w:rsid w:val="00995442"/>
    <w:rsid w:val="009A27F5"/>
    <w:rsid w:val="009A3633"/>
    <w:rsid w:val="009A775F"/>
    <w:rsid w:val="009A796F"/>
    <w:rsid w:val="009B3636"/>
    <w:rsid w:val="009B3F6A"/>
    <w:rsid w:val="009B572F"/>
    <w:rsid w:val="009B7B75"/>
    <w:rsid w:val="009C26BF"/>
    <w:rsid w:val="009C2A94"/>
    <w:rsid w:val="009C352E"/>
    <w:rsid w:val="009C5BE8"/>
    <w:rsid w:val="009C64DF"/>
    <w:rsid w:val="009C75F1"/>
    <w:rsid w:val="009D16C2"/>
    <w:rsid w:val="009D2720"/>
    <w:rsid w:val="009D4AC9"/>
    <w:rsid w:val="009E0785"/>
    <w:rsid w:val="009E1177"/>
    <w:rsid w:val="009E21B1"/>
    <w:rsid w:val="009E5C76"/>
    <w:rsid w:val="009F11B9"/>
    <w:rsid w:val="009F1437"/>
    <w:rsid w:val="009F1E65"/>
    <w:rsid w:val="009F1EB3"/>
    <w:rsid w:val="009F2337"/>
    <w:rsid w:val="009F23E2"/>
    <w:rsid w:val="009F2C52"/>
    <w:rsid w:val="009F3BE9"/>
    <w:rsid w:val="00A01FB7"/>
    <w:rsid w:val="00A02781"/>
    <w:rsid w:val="00A0315D"/>
    <w:rsid w:val="00A12299"/>
    <w:rsid w:val="00A13B68"/>
    <w:rsid w:val="00A14103"/>
    <w:rsid w:val="00A16C67"/>
    <w:rsid w:val="00A20974"/>
    <w:rsid w:val="00A22DA5"/>
    <w:rsid w:val="00A2341C"/>
    <w:rsid w:val="00A24D16"/>
    <w:rsid w:val="00A254EB"/>
    <w:rsid w:val="00A279B2"/>
    <w:rsid w:val="00A27B31"/>
    <w:rsid w:val="00A3362F"/>
    <w:rsid w:val="00A3370E"/>
    <w:rsid w:val="00A33765"/>
    <w:rsid w:val="00A35515"/>
    <w:rsid w:val="00A3591E"/>
    <w:rsid w:val="00A41B06"/>
    <w:rsid w:val="00A43DAD"/>
    <w:rsid w:val="00A45DE4"/>
    <w:rsid w:val="00A51627"/>
    <w:rsid w:val="00A52AFB"/>
    <w:rsid w:val="00A543B1"/>
    <w:rsid w:val="00A556C5"/>
    <w:rsid w:val="00A561E0"/>
    <w:rsid w:val="00A61C60"/>
    <w:rsid w:val="00A61FCD"/>
    <w:rsid w:val="00A66E05"/>
    <w:rsid w:val="00A71AEE"/>
    <w:rsid w:val="00A71D11"/>
    <w:rsid w:val="00A73D15"/>
    <w:rsid w:val="00A7507D"/>
    <w:rsid w:val="00A759FA"/>
    <w:rsid w:val="00A75C4C"/>
    <w:rsid w:val="00A83034"/>
    <w:rsid w:val="00A8324E"/>
    <w:rsid w:val="00A84070"/>
    <w:rsid w:val="00A854A9"/>
    <w:rsid w:val="00A85621"/>
    <w:rsid w:val="00A864E2"/>
    <w:rsid w:val="00A91F45"/>
    <w:rsid w:val="00A93264"/>
    <w:rsid w:val="00A93AAE"/>
    <w:rsid w:val="00A94D57"/>
    <w:rsid w:val="00A95350"/>
    <w:rsid w:val="00A953D7"/>
    <w:rsid w:val="00A9744D"/>
    <w:rsid w:val="00AA1877"/>
    <w:rsid w:val="00AA1A6F"/>
    <w:rsid w:val="00AA1E1E"/>
    <w:rsid w:val="00AA4D4D"/>
    <w:rsid w:val="00AA5C20"/>
    <w:rsid w:val="00AA6D55"/>
    <w:rsid w:val="00AB1705"/>
    <w:rsid w:val="00AB3FB8"/>
    <w:rsid w:val="00AB4F1E"/>
    <w:rsid w:val="00AB6CED"/>
    <w:rsid w:val="00AC0397"/>
    <w:rsid w:val="00AC099B"/>
    <w:rsid w:val="00AC1382"/>
    <w:rsid w:val="00AC1DB9"/>
    <w:rsid w:val="00AC28D8"/>
    <w:rsid w:val="00AC541B"/>
    <w:rsid w:val="00AC729C"/>
    <w:rsid w:val="00AD4873"/>
    <w:rsid w:val="00AD7080"/>
    <w:rsid w:val="00AE420C"/>
    <w:rsid w:val="00AE5EE4"/>
    <w:rsid w:val="00AE67E9"/>
    <w:rsid w:val="00AE6B57"/>
    <w:rsid w:val="00AE7976"/>
    <w:rsid w:val="00AE7E73"/>
    <w:rsid w:val="00AF088E"/>
    <w:rsid w:val="00AF285B"/>
    <w:rsid w:val="00AF3819"/>
    <w:rsid w:val="00B00F5B"/>
    <w:rsid w:val="00B026FD"/>
    <w:rsid w:val="00B04704"/>
    <w:rsid w:val="00B06158"/>
    <w:rsid w:val="00B06EDC"/>
    <w:rsid w:val="00B07713"/>
    <w:rsid w:val="00B1259D"/>
    <w:rsid w:val="00B162D6"/>
    <w:rsid w:val="00B171EE"/>
    <w:rsid w:val="00B1761D"/>
    <w:rsid w:val="00B1764D"/>
    <w:rsid w:val="00B17B71"/>
    <w:rsid w:val="00B20A69"/>
    <w:rsid w:val="00B236FC"/>
    <w:rsid w:val="00B27090"/>
    <w:rsid w:val="00B36DBB"/>
    <w:rsid w:val="00B40267"/>
    <w:rsid w:val="00B45CF0"/>
    <w:rsid w:val="00B46CB3"/>
    <w:rsid w:val="00B50CC9"/>
    <w:rsid w:val="00B5328F"/>
    <w:rsid w:val="00B56374"/>
    <w:rsid w:val="00B56427"/>
    <w:rsid w:val="00B60584"/>
    <w:rsid w:val="00B60E62"/>
    <w:rsid w:val="00B635CF"/>
    <w:rsid w:val="00B6470E"/>
    <w:rsid w:val="00B67B9B"/>
    <w:rsid w:val="00B71E91"/>
    <w:rsid w:val="00B768EA"/>
    <w:rsid w:val="00B8016D"/>
    <w:rsid w:val="00B8329F"/>
    <w:rsid w:val="00B85238"/>
    <w:rsid w:val="00B85354"/>
    <w:rsid w:val="00B85646"/>
    <w:rsid w:val="00B9131C"/>
    <w:rsid w:val="00B91A7A"/>
    <w:rsid w:val="00B931CE"/>
    <w:rsid w:val="00BA1A0C"/>
    <w:rsid w:val="00BA3341"/>
    <w:rsid w:val="00BA4459"/>
    <w:rsid w:val="00BA690A"/>
    <w:rsid w:val="00BB5181"/>
    <w:rsid w:val="00BC267D"/>
    <w:rsid w:val="00BC7C24"/>
    <w:rsid w:val="00BC7D31"/>
    <w:rsid w:val="00BD0320"/>
    <w:rsid w:val="00BD3183"/>
    <w:rsid w:val="00BD3934"/>
    <w:rsid w:val="00BD6EE7"/>
    <w:rsid w:val="00BE0637"/>
    <w:rsid w:val="00BE12DF"/>
    <w:rsid w:val="00BE28B3"/>
    <w:rsid w:val="00BE3B2F"/>
    <w:rsid w:val="00BE5C54"/>
    <w:rsid w:val="00BE6F83"/>
    <w:rsid w:val="00BE766D"/>
    <w:rsid w:val="00BF2CAD"/>
    <w:rsid w:val="00BF2D38"/>
    <w:rsid w:val="00BF7E2D"/>
    <w:rsid w:val="00C00983"/>
    <w:rsid w:val="00C01DC3"/>
    <w:rsid w:val="00C04E60"/>
    <w:rsid w:val="00C109B7"/>
    <w:rsid w:val="00C10A53"/>
    <w:rsid w:val="00C1344D"/>
    <w:rsid w:val="00C13F07"/>
    <w:rsid w:val="00C2475C"/>
    <w:rsid w:val="00C25055"/>
    <w:rsid w:val="00C25982"/>
    <w:rsid w:val="00C26CBB"/>
    <w:rsid w:val="00C31235"/>
    <w:rsid w:val="00C32E73"/>
    <w:rsid w:val="00C3362E"/>
    <w:rsid w:val="00C367F8"/>
    <w:rsid w:val="00C36D00"/>
    <w:rsid w:val="00C4454F"/>
    <w:rsid w:val="00C44FCA"/>
    <w:rsid w:val="00C47403"/>
    <w:rsid w:val="00C47890"/>
    <w:rsid w:val="00C5457C"/>
    <w:rsid w:val="00C555E9"/>
    <w:rsid w:val="00C56915"/>
    <w:rsid w:val="00C64265"/>
    <w:rsid w:val="00C646B4"/>
    <w:rsid w:val="00C70F40"/>
    <w:rsid w:val="00C76283"/>
    <w:rsid w:val="00C764FF"/>
    <w:rsid w:val="00C8180E"/>
    <w:rsid w:val="00C85B9E"/>
    <w:rsid w:val="00C947D0"/>
    <w:rsid w:val="00C949BC"/>
    <w:rsid w:val="00CA2628"/>
    <w:rsid w:val="00CA3DEF"/>
    <w:rsid w:val="00CA3F00"/>
    <w:rsid w:val="00CA7A52"/>
    <w:rsid w:val="00CB0301"/>
    <w:rsid w:val="00CB0738"/>
    <w:rsid w:val="00CB382B"/>
    <w:rsid w:val="00CB42D4"/>
    <w:rsid w:val="00CB4414"/>
    <w:rsid w:val="00CB674B"/>
    <w:rsid w:val="00CC0CA7"/>
    <w:rsid w:val="00CC1CF7"/>
    <w:rsid w:val="00CC3239"/>
    <w:rsid w:val="00CC7F35"/>
    <w:rsid w:val="00CD0EE9"/>
    <w:rsid w:val="00CD26D7"/>
    <w:rsid w:val="00CD752A"/>
    <w:rsid w:val="00CD7707"/>
    <w:rsid w:val="00CD79CC"/>
    <w:rsid w:val="00CE0953"/>
    <w:rsid w:val="00CE34B7"/>
    <w:rsid w:val="00CE4AD7"/>
    <w:rsid w:val="00CF0479"/>
    <w:rsid w:val="00CF1C76"/>
    <w:rsid w:val="00CF6EB9"/>
    <w:rsid w:val="00D02F39"/>
    <w:rsid w:val="00D035B3"/>
    <w:rsid w:val="00D03D6E"/>
    <w:rsid w:val="00D03E28"/>
    <w:rsid w:val="00D07758"/>
    <w:rsid w:val="00D106FE"/>
    <w:rsid w:val="00D10FB7"/>
    <w:rsid w:val="00D112CA"/>
    <w:rsid w:val="00D113A0"/>
    <w:rsid w:val="00D120D4"/>
    <w:rsid w:val="00D14D1D"/>
    <w:rsid w:val="00D154E6"/>
    <w:rsid w:val="00D157E6"/>
    <w:rsid w:val="00D15B3C"/>
    <w:rsid w:val="00D16E35"/>
    <w:rsid w:val="00D20B6A"/>
    <w:rsid w:val="00D22EA6"/>
    <w:rsid w:val="00D231DB"/>
    <w:rsid w:val="00D23DDD"/>
    <w:rsid w:val="00D25EAD"/>
    <w:rsid w:val="00D26E2D"/>
    <w:rsid w:val="00D43E48"/>
    <w:rsid w:val="00D50431"/>
    <w:rsid w:val="00D5340F"/>
    <w:rsid w:val="00D5632D"/>
    <w:rsid w:val="00D6114C"/>
    <w:rsid w:val="00D63B3D"/>
    <w:rsid w:val="00D63D0A"/>
    <w:rsid w:val="00D64C35"/>
    <w:rsid w:val="00D65219"/>
    <w:rsid w:val="00D7300F"/>
    <w:rsid w:val="00D7533B"/>
    <w:rsid w:val="00D75E7D"/>
    <w:rsid w:val="00D76A6E"/>
    <w:rsid w:val="00D775B3"/>
    <w:rsid w:val="00D77E12"/>
    <w:rsid w:val="00D82490"/>
    <w:rsid w:val="00D845F1"/>
    <w:rsid w:val="00D93C44"/>
    <w:rsid w:val="00D95F21"/>
    <w:rsid w:val="00D96B25"/>
    <w:rsid w:val="00D9753E"/>
    <w:rsid w:val="00D9766C"/>
    <w:rsid w:val="00DA09D5"/>
    <w:rsid w:val="00DA1360"/>
    <w:rsid w:val="00DA513F"/>
    <w:rsid w:val="00DA68E6"/>
    <w:rsid w:val="00DA762D"/>
    <w:rsid w:val="00DB01A0"/>
    <w:rsid w:val="00DB1C68"/>
    <w:rsid w:val="00DB3C47"/>
    <w:rsid w:val="00DB4A21"/>
    <w:rsid w:val="00DC0EE3"/>
    <w:rsid w:val="00DC3393"/>
    <w:rsid w:val="00DD1610"/>
    <w:rsid w:val="00DD4A71"/>
    <w:rsid w:val="00DD70EA"/>
    <w:rsid w:val="00DD7BB4"/>
    <w:rsid w:val="00DD7D19"/>
    <w:rsid w:val="00DE05D9"/>
    <w:rsid w:val="00DE1921"/>
    <w:rsid w:val="00DE1E4F"/>
    <w:rsid w:val="00DE3421"/>
    <w:rsid w:val="00DE3F73"/>
    <w:rsid w:val="00DE48D3"/>
    <w:rsid w:val="00DE580A"/>
    <w:rsid w:val="00DF197B"/>
    <w:rsid w:val="00DF3140"/>
    <w:rsid w:val="00DF58E4"/>
    <w:rsid w:val="00DF6396"/>
    <w:rsid w:val="00DF7A25"/>
    <w:rsid w:val="00E00358"/>
    <w:rsid w:val="00E06B7B"/>
    <w:rsid w:val="00E12BB7"/>
    <w:rsid w:val="00E16C38"/>
    <w:rsid w:val="00E21ED4"/>
    <w:rsid w:val="00E26234"/>
    <w:rsid w:val="00E26507"/>
    <w:rsid w:val="00E27295"/>
    <w:rsid w:val="00E30318"/>
    <w:rsid w:val="00E318FE"/>
    <w:rsid w:val="00E4200E"/>
    <w:rsid w:val="00E440C8"/>
    <w:rsid w:val="00E47637"/>
    <w:rsid w:val="00E47DDB"/>
    <w:rsid w:val="00E50779"/>
    <w:rsid w:val="00E52746"/>
    <w:rsid w:val="00E534D0"/>
    <w:rsid w:val="00E53694"/>
    <w:rsid w:val="00E55F99"/>
    <w:rsid w:val="00E6033A"/>
    <w:rsid w:val="00E61922"/>
    <w:rsid w:val="00E66A2B"/>
    <w:rsid w:val="00E70DC4"/>
    <w:rsid w:val="00E71B8E"/>
    <w:rsid w:val="00E80A10"/>
    <w:rsid w:val="00E820DA"/>
    <w:rsid w:val="00E91B09"/>
    <w:rsid w:val="00E96404"/>
    <w:rsid w:val="00E976C3"/>
    <w:rsid w:val="00EA1FF8"/>
    <w:rsid w:val="00EA2BCD"/>
    <w:rsid w:val="00EA3447"/>
    <w:rsid w:val="00EA3E3E"/>
    <w:rsid w:val="00EA6DE8"/>
    <w:rsid w:val="00EB011C"/>
    <w:rsid w:val="00EB0BFE"/>
    <w:rsid w:val="00EB3EAC"/>
    <w:rsid w:val="00EB4982"/>
    <w:rsid w:val="00EB4F17"/>
    <w:rsid w:val="00EB5C71"/>
    <w:rsid w:val="00EB60FE"/>
    <w:rsid w:val="00EB654E"/>
    <w:rsid w:val="00EB6627"/>
    <w:rsid w:val="00EB712E"/>
    <w:rsid w:val="00EB71F1"/>
    <w:rsid w:val="00EB76F8"/>
    <w:rsid w:val="00EC0018"/>
    <w:rsid w:val="00EC37D7"/>
    <w:rsid w:val="00EC61A3"/>
    <w:rsid w:val="00EC67A2"/>
    <w:rsid w:val="00EC7AB7"/>
    <w:rsid w:val="00ED2C4A"/>
    <w:rsid w:val="00ED3845"/>
    <w:rsid w:val="00EE2AA5"/>
    <w:rsid w:val="00EE437A"/>
    <w:rsid w:val="00EE6677"/>
    <w:rsid w:val="00EE6C4F"/>
    <w:rsid w:val="00EF5FF4"/>
    <w:rsid w:val="00EF61F8"/>
    <w:rsid w:val="00F00542"/>
    <w:rsid w:val="00F01037"/>
    <w:rsid w:val="00F02F38"/>
    <w:rsid w:val="00F05507"/>
    <w:rsid w:val="00F12ACE"/>
    <w:rsid w:val="00F130A2"/>
    <w:rsid w:val="00F13F40"/>
    <w:rsid w:val="00F1495C"/>
    <w:rsid w:val="00F1569E"/>
    <w:rsid w:val="00F22B5A"/>
    <w:rsid w:val="00F2323E"/>
    <w:rsid w:val="00F238DC"/>
    <w:rsid w:val="00F30800"/>
    <w:rsid w:val="00F324E6"/>
    <w:rsid w:val="00F379E2"/>
    <w:rsid w:val="00F40C84"/>
    <w:rsid w:val="00F43E02"/>
    <w:rsid w:val="00F440E4"/>
    <w:rsid w:val="00F448A3"/>
    <w:rsid w:val="00F44BCE"/>
    <w:rsid w:val="00F509F8"/>
    <w:rsid w:val="00F540C3"/>
    <w:rsid w:val="00F54845"/>
    <w:rsid w:val="00F54A57"/>
    <w:rsid w:val="00F558E4"/>
    <w:rsid w:val="00F62412"/>
    <w:rsid w:val="00F626D3"/>
    <w:rsid w:val="00F64343"/>
    <w:rsid w:val="00F647A6"/>
    <w:rsid w:val="00F65087"/>
    <w:rsid w:val="00F65279"/>
    <w:rsid w:val="00F67403"/>
    <w:rsid w:val="00F71EB2"/>
    <w:rsid w:val="00F72AAF"/>
    <w:rsid w:val="00F75EEA"/>
    <w:rsid w:val="00F76664"/>
    <w:rsid w:val="00F772E7"/>
    <w:rsid w:val="00F8416B"/>
    <w:rsid w:val="00F85E1D"/>
    <w:rsid w:val="00F9547C"/>
    <w:rsid w:val="00F959A7"/>
    <w:rsid w:val="00FA0372"/>
    <w:rsid w:val="00FA1B92"/>
    <w:rsid w:val="00FA3B3C"/>
    <w:rsid w:val="00FA3DBA"/>
    <w:rsid w:val="00FA6CB3"/>
    <w:rsid w:val="00FB23E8"/>
    <w:rsid w:val="00FB66E7"/>
    <w:rsid w:val="00FC3E97"/>
    <w:rsid w:val="00FD2F11"/>
    <w:rsid w:val="00FD315C"/>
    <w:rsid w:val="00FD4134"/>
    <w:rsid w:val="00FD7CA2"/>
    <w:rsid w:val="00FE13F0"/>
    <w:rsid w:val="00FE2533"/>
    <w:rsid w:val="00FE4A28"/>
    <w:rsid w:val="00FE7483"/>
    <w:rsid w:val="00FE7851"/>
    <w:rsid w:val="00FF02F1"/>
    <w:rsid w:val="00FF0BE0"/>
    <w:rsid w:val="00FF2AF5"/>
    <w:rsid w:val="00FF3189"/>
    <w:rsid w:val="00FF6849"/>
    <w:rsid w:val="00FF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32CEB-21B4-43B8-9C0A-958CEECB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F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70322">
      <w:bodyDiv w:val="1"/>
      <w:marLeft w:val="0"/>
      <w:marRight w:val="0"/>
      <w:marTop w:val="0"/>
      <w:marBottom w:val="0"/>
      <w:divBdr>
        <w:top w:val="none" w:sz="0" w:space="0" w:color="auto"/>
        <w:left w:val="none" w:sz="0" w:space="0" w:color="auto"/>
        <w:bottom w:val="none" w:sz="0" w:space="0" w:color="auto"/>
        <w:right w:val="none" w:sz="0" w:space="0" w:color="auto"/>
      </w:divBdr>
      <w:divsChild>
        <w:div w:id="941648933">
          <w:marLeft w:val="0"/>
          <w:marRight w:val="0"/>
          <w:marTop w:val="0"/>
          <w:marBottom w:val="0"/>
          <w:divBdr>
            <w:top w:val="none" w:sz="0" w:space="0" w:color="auto"/>
            <w:left w:val="none" w:sz="0" w:space="0" w:color="auto"/>
            <w:bottom w:val="none" w:sz="0" w:space="0" w:color="auto"/>
            <w:right w:val="none" w:sz="0" w:space="0" w:color="auto"/>
          </w:divBdr>
          <w:divsChild>
            <w:div w:id="409156447">
              <w:marLeft w:val="0"/>
              <w:marRight w:val="0"/>
              <w:marTop w:val="0"/>
              <w:marBottom w:val="0"/>
              <w:divBdr>
                <w:top w:val="none" w:sz="0" w:space="0" w:color="auto"/>
                <w:left w:val="none" w:sz="0" w:space="0" w:color="auto"/>
                <w:bottom w:val="none" w:sz="0" w:space="0" w:color="auto"/>
                <w:right w:val="none" w:sz="0" w:space="0" w:color="auto"/>
              </w:divBdr>
              <w:divsChild>
                <w:div w:id="7792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lii.org/en/on/oncj/doc/2012/2012oncj479/2012oncj479.html?searchUrlHash=AAAAAQAUZnJlZWRvbSBvZiBhc3NlbWJseSAAAAAAAQ&amp;resultIndex=26" TargetMode="External"/><Relationship Id="rId5" Type="http://schemas.openxmlformats.org/officeDocument/2006/relationships/hyperlink" Target="https://scc-csc.lexum.com/scc-csc/scc-csc/en/item/366/index.do" TargetMode="External"/><Relationship Id="rId4" Type="http://schemas.openxmlformats.org/officeDocument/2006/relationships/hyperlink" Target="http://www.canlii.org/en/on/onsc/doc/1994/1994canlii7509/1994canlii75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Antonoudiou</dc:creator>
  <cp:keywords/>
  <dc:description/>
  <cp:lastModifiedBy>Christiana Antonoudiou</cp:lastModifiedBy>
  <cp:revision>3</cp:revision>
  <dcterms:created xsi:type="dcterms:W3CDTF">2016-03-29T21:26:00Z</dcterms:created>
  <dcterms:modified xsi:type="dcterms:W3CDTF">2016-04-07T11:36:00Z</dcterms:modified>
</cp:coreProperties>
</file>