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59301" w14:textId="77777777" w:rsidR="00E5569C" w:rsidRDefault="00E5569C" w:rsidP="00633EFC">
      <w:pPr>
        <w:widowControl w:val="0"/>
        <w:autoSpaceDE w:val="0"/>
        <w:autoSpaceDN w:val="0"/>
        <w:adjustRightInd w:val="0"/>
        <w:rPr>
          <w:rFonts w:ascii="Verdana" w:hAnsi="Verdana" w:cs="Verdana"/>
          <w:b/>
          <w:color w:val="171717"/>
          <w:sz w:val="32"/>
          <w:szCs w:val="32"/>
        </w:rPr>
      </w:pPr>
    </w:p>
    <w:p w14:paraId="62F594AF" w14:textId="77777777" w:rsidR="00ED2FEA" w:rsidRPr="00F015DD" w:rsidRDefault="00BD1F00" w:rsidP="00ED2FEA">
      <w:pPr>
        <w:widowControl w:val="0"/>
        <w:autoSpaceDE w:val="0"/>
        <w:autoSpaceDN w:val="0"/>
        <w:adjustRightInd w:val="0"/>
        <w:jc w:val="center"/>
        <w:rPr>
          <w:rFonts w:asciiTheme="majorHAnsi" w:hAnsiTheme="majorHAnsi" w:cs="Verdana"/>
          <w:b/>
          <w:color w:val="171717"/>
          <w:sz w:val="32"/>
          <w:szCs w:val="32"/>
          <w:lang w:val="fr-FR"/>
        </w:rPr>
      </w:pPr>
      <w:r w:rsidRPr="00F015DD">
        <w:rPr>
          <w:rFonts w:asciiTheme="majorHAnsi" w:hAnsiTheme="majorHAnsi" w:cs="Verdana"/>
          <w:b/>
          <w:color w:val="171717"/>
          <w:sz w:val="32"/>
          <w:szCs w:val="32"/>
          <w:lang w:val="fr-FR"/>
        </w:rPr>
        <w:t>LIBERTE D'EXPRESSION</w:t>
      </w:r>
    </w:p>
    <w:p w14:paraId="0255D937" w14:textId="77777777" w:rsidR="00D27B60" w:rsidRPr="00F015DD" w:rsidRDefault="00BD1F00" w:rsidP="00ED2FEA">
      <w:pPr>
        <w:widowControl w:val="0"/>
        <w:autoSpaceDE w:val="0"/>
        <w:autoSpaceDN w:val="0"/>
        <w:adjustRightInd w:val="0"/>
        <w:jc w:val="center"/>
        <w:rPr>
          <w:rFonts w:asciiTheme="majorHAnsi" w:hAnsiTheme="majorHAnsi" w:cs="Verdana"/>
          <w:b/>
          <w:color w:val="171717"/>
          <w:sz w:val="32"/>
          <w:szCs w:val="32"/>
          <w:lang w:val="fr-FR"/>
        </w:rPr>
      </w:pPr>
      <w:r w:rsidRPr="00F015DD">
        <w:rPr>
          <w:rFonts w:asciiTheme="majorHAnsi" w:hAnsiTheme="majorHAnsi" w:cs="Verdana"/>
          <w:b/>
          <w:color w:val="171717"/>
          <w:sz w:val="32"/>
          <w:szCs w:val="32"/>
          <w:lang w:val="fr-FR"/>
        </w:rPr>
        <w:t>ET SECURITE NATIONALE</w:t>
      </w:r>
      <w:r w:rsidR="00D27B60" w:rsidRPr="00F015DD">
        <w:rPr>
          <w:rFonts w:asciiTheme="majorHAnsi" w:hAnsiTheme="majorHAnsi" w:cs="Verdana"/>
          <w:b/>
          <w:color w:val="171717"/>
          <w:sz w:val="32"/>
          <w:szCs w:val="32"/>
          <w:lang w:val="fr-FR"/>
        </w:rPr>
        <w:t xml:space="preserve">: </w:t>
      </w:r>
    </w:p>
    <w:p w14:paraId="327ACC14" w14:textId="1A108E76" w:rsidR="00ED2FEA" w:rsidRPr="00F015DD" w:rsidRDefault="00BD1F00" w:rsidP="00ED2FEA">
      <w:pPr>
        <w:widowControl w:val="0"/>
        <w:autoSpaceDE w:val="0"/>
        <w:autoSpaceDN w:val="0"/>
        <w:adjustRightInd w:val="0"/>
        <w:jc w:val="center"/>
        <w:rPr>
          <w:rFonts w:asciiTheme="majorHAnsi" w:hAnsiTheme="majorHAnsi" w:cs="Verdana"/>
          <w:b/>
          <w:color w:val="171717"/>
          <w:sz w:val="32"/>
          <w:szCs w:val="32"/>
          <w:lang w:val="fr-FR"/>
        </w:rPr>
      </w:pPr>
      <w:r w:rsidRPr="00F015DD">
        <w:rPr>
          <w:rFonts w:asciiTheme="majorHAnsi" w:hAnsiTheme="majorHAnsi" w:cs="Verdana"/>
          <w:b/>
          <w:color w:val="171717"/>
          <w:sz w:val="32"/>
          <w:szCs w:val="32"/>
          <w:lang w:val="fr-FR"/>
        </w:rPr>
        <w:t>Equilibrer pour protéger</w:t>
      </w:r>
      <w:r w:rsidR="00E83314" w:rsidRPr="00F015DD">
        <w:rPr>
          <w:rStyle w:val="FootnoteReference"/>
          <w:rFonts w:asciiTheme="majorHAnsi" w:hAnsiTheme="majorHAnsi" w:cs="Verdana"/>
          <w:b/>
          <w:color w:val="171717"/>
          <w:sz w:val="32"/>
          <w:szCs w:val="32"/>
          <w:lang w:val="fr-FR"/>
        </w:rPr>
        <w:footnoteReference w:id="1"/>
      </w:r>
      <w:r w:rsidRPr="00F015DD">
        <w:rPr>
          <w:rFonts w:asciiTheme="majorHAnsi" w:hAnsiTheme="majorHAnsi" w:cs="Verdana"/>
          <w:b/>
          <w:color w:val="171717"/>
          <w:sz w:val="32"/>
          <w:szCs w:val="32"/>
          <w:lang w:val="fr-FR"/>
        </w:rPr>
        <w:t xml:space="preserve"> </w:t>
      </w:r>
    </w:p>
    <w:p w14:paraId="2BF3DE7B" w14:textId="77777777" w:rsidR="00ED2FEA" w:rsidRPr="00F015DD" w:rsidRDefault="00ED2FEA" w:rsidP="00ED2FEA">
      <w:pPr>
        <w:widowControl w:val="0"/>
        <w:autoSpaceDE w:val="0"/>
        <w:autoSpaceDN w:val="0"/>
        <w:adjustRightInd w:val="0"/>
        <w:jc w:val="center"/>
        <w:rPr>
          <w:rFonts w:asciiTheme="majorHAnsi" w:hAnsiTheme="majorHAnsi" w:cs="Verdana"/>
          <w:b/>
          <w:color w:val="171717"/>
          <w:lang w:val="fr-FR"/>
        </w:rPr>
      </w:pPr>
      <w:r w:rsidRPr="00F015DD">
        <w:rPr>
          <w:rFonts w:asciiTheme="majorHAnsi" w:hAnsiTheme="majorHAnsi" w:cs="Verdana"/>
          <w:b/>
          <w:color w:val="171717"/>
          <w:lang w:val="fr-FR"/>
        </w:rPr>
        <w:t xml:space="preserve">Dr. </w:t>
      </w:r>
      <w:proofErr w:type="spellStart"/>
      <w:r w:rsidRPr="00F015DD">
        <w:rPr>
          <w:rFonts w:asciiTheme="majorHAnsi" w:hAnsiTheme="majorHAnsi" w:cs="Verdana"/>
          <w:b/>
          <w:color w:val="171717"/>
          <w:lang w:val="fr-FR"/>
        </w:rPr>
        <w:t>Agnes</w:t>
      </w:r>
      <w:proofErr w:type="spellEnd"/>
      <w:r w:rsidRPr="00F015DD">
        <w:rPr>
          <w:rFonts w:asciiTheme="majorHAnsi" w:hAnsiTheme="majorHAnsi" w:cs="Verdana"/>
          <w:b/>
          <w:color w:val="171717"/>
          <w:lang w:val="fr-FR"/>
        </w:rPr>
        <w:t xml:space="preserve"> Callamard</w:t>
      </w:r>
      <w:r w:rsidR="00B12796" w:rsidRPr="00F015DD">
        <w:rPr>
          <w:rFonts w:asciiTheme="majorHAnsi" w:hAnsiTheme="majorHAnsi" w:cs="Verdana"/>
          <w:b/>
          <w:color w:val="171717"/>
          <w:lang w:val="fr-FR"/>
        </w:rPr>
        <w:t>, Direct</w:t>
      </w:r>
      <w:r w:rsidR="00BD1F00" w:rsidRPr="00F015DD">
        <w:rPr>
          <w:rFonts w:asciiTheme="majorHAnsi" w:hAnsiTheme="majorHAnsi" w:cs="Verdana"/>
          <w:b/>
          <w:color w:val="171717"/>
          <w:lang w:val="fr-FR"/>
        </w:rPr>
        <w:t>eu</w:t>
      </w:r>
      <w:r w:rsidR="00B12796" w:rsidRPr="00F015DD">
        <w:rPr>
          <w:rFonts w:asciiTheme="majorHAnsi" w:hAnsiTheme="majorHAnsi" w:cs="Verdana"/>
          <w:b/>
          <w:color w:val="171717"/>
          <w:lang w:val="fr-FR"/>
        </w:rPr>
        <w:t xml:space="preserve">r, Columbia Global </w:t>
      </w:r>
      <w:proofErr w:type="spellStart"/>
      <w:r w:rsidR="00B12796" w:rsidRPr="00F015DD">
        <w:rPr>
          <w:rFonts w:asciiTheme="majorHAnsi" w:hAnsiTheme="majorHAnsi" w:cs="Verdana"/>
          <w:b/>
          <w:color w:val="171717"/>
          <w:lang w:val="fr-FR"/>
        </w:rPr>
        <w:t>Freedom</w:t>
      </w:r>
      <w:proofErr w:type="spellEnd"/>
      <w:r w:rsidR="00B12796" w:rsidRPr="00F015DD">
        <w:rPr>
          <w:rFonts w:asciiTheme="majorHAnsi" w:hAnsiTheme="majorHAnsi" w:cs="Verdana"/>
          <w:b/>
          <w:color w:val="171717"/>
          <w:lang w:val="fr-FR"/>
        </w:rPr>
        <w:t xml:space="preserve"> of Expression</w:t>
      </w:r>
    </w:p>
    <w:p w14:paraId="45AADC8A" w14:textId="77777777" w:rsidR="00D27B60" w:rsidRPr="00F015DD" w:rsidRDefault="00D27B60" w:rsidP="00ED2FEA">
      <w:pPr>
        <w:widowControl w:val="0"/>
        <w:autoSpaceDE w:val="0"/>
        <w:autoSpaceDN w:val="0"/>
        <w:adjustRightInd w:val="0"/>
        <w:jc w:val="center"/>
        <w:rPr>
          <w:rFonts w:asciiTheme="majorHAnsi" w:hAnsiTheme="majorHAnsi" w:cs="Verdana"/>
          <w:b/>
          <w:color w:val="171717"/>
          <w:lang w:val="fr-FR"/>
        </w:rPr>
      </w:pPr>
    </w:p>
    <w:p w14:paraId="46DB7B64" w14:textId="77777777" w:rsidR="00272F1D" w:rsidRPr="00F015DD" w:rsidRDefault="00BD1F00" w:rsidP="00ED2FEA">
      <w:pPr>
        <w:widowControl w:val="0"/>
        <w:autoSpaceDE w:val="0"/>
        <w:autoSpaceDN w:val="0"/>
        <w:adjustRightInd w:val="0"/>
        <w:jc w:val="center"/>
        <w:rPr>
          <w:rFonts w:asciiTheme="majorHAnsi" w:hAnsiTheme="majorHAnsi" w:cs="Verdana"/>
          <w:b/>
          <w:color w:val="171717"/>
          <w:lang w:val="fr-FR"/>
        </w:rPr>
      </w:pPr>
      <w:r w:rsidRPr="00F015DD">
        <w:rPr>
          <w:rFonts w:asciiTheme="majorHAnsi" w:hAnsiTheme="majorHAnsi" w:cs="Verdana"/>
          <w:b/>
          <w:color w:val="171717"/>
          <w:lang w:val="fr-FR"/>
        </w:rPr>
        <w:t xml:space="preserve">Aperçu et analyse, élaborés au profit de </w:t>
      </w:r>
      <w:r w:rsidR="00D27B60" w:rsidRPr="00F015DD">
        <w:rPr>
          <w:rFonts w:asciiTheme="majorHAnsi" w:hAnsiTheme="majorHAnsi" w:cs="Verdana"/>
          <w:b/>
          <w:color w:val="171717"/>
          <w:lang w:val="fr-FR"/>
        </w:rPr>
        <w:t xml:space="preserve">Columbia Global </w:t>
      </w:r>
      <w:proofErr w:type="spellStart"/>
      <w:r w:rsidR="00D27B60" w:rsidRPr="00F015DD">
        <w:rPr>
          <w:rFonts w:asciiTheme="majorHAnsi" w:hAnsiTheme="majorHAnsi" w:cs="Verdana"/>
          <w:b/>
          <w:color w:val="171717"/>
          <w:lang w:val="fr-FR"/>
        </w:rPr>
        <w:t>Freedom</w:t>
      </w:r>
      <w:proofErr w:type="spellEnd"/>
      <w:r w:rsidR="00D27B60" w:rsidRPr="00F015DD">
        <w:rPr>
          <w:rFonts w:asciiTheme="majorHAnsi" w:hAnsiTheme="majorHAnsi" w:cs="Verdana"/>
          <w:b/>
          <w:color w:val="171717"/>
          <w:lang w:val="fr-FR"/>
        </w:rPr>
        <w:t xml:space="preserve"> of Expression, </w:t>
      </w:r>
    </w:p>
    <w:p w14:paraId="6D197C53" w14:textId="77777777" w:rsidR="00D27B60" w:rsidRPr="00F015DD" w:rsidRDefault="00BD1F00" w:rsidP="00ED2FEA">
      <w:pPr>
        <w:widowControl w:val="0"/>
        <w:autoSpaceDE w:val="0"/>
        <w:autoSpaceDN w:val="0"/>
        <w:adjustRightInd w:val="0"/>
        <w:jc w:val="center"/>
        <w:rPr>
          <w:rFonts w:asciiTheme="majorHAnsi" w:hAnsiTheme="majorHAnsi" w:cs="Verdana"/>
          <w:b/>
          <w:color w:val="171717"/>
          <w:lang w:val="fr-FR"/>
        </w:rPr>
      </w:pPr>
      <w:r w:rsidRPr="00F015DD">
        <w:rPr>
          <w:rFonts w:asciiTheme="majorHAnsi" w:hAnsiTheme="majorHAnsi" w:cs="Verdana"/>
          <w:b/>
          <w:color w:val="171717"/>
          <w:lang w:val="fr-FR"/>
        </w:rPr>
        <w:t xml:space="preserve">Modules de formation pour les juges, janvier </w:t>
      </w:r>
      <w:r w:rsidR="00B12796" w:rsidRPr="00F015DD">
        <w:rPr>
          <w:rFonts w:asciiTheme="majorHAnsi" w:hAnsiTheme="majorHAnsi" w:cs="Verdana"/>
          <w:b/>
          <w:color w:val="171717"/>
          <w:lang w:val="fr-FR"/>
        </w:rPr>
        <w:t>2016</w:t>
      </w:r>
    </w:p>
    <w:p w14:paraId="05C3638F" w14:textId="77777777" w:rsidR="00633EFC" w:rsidRPr="00F015DD" w:rsidRDefault="00633EFC" w:rsidP="00633EFC">
      <w:pPr>
        <w:widowControl w:val="0"/>
        <w:autoSpaceDE w:val="0"/>
        <w:autoSpaceDN w:val="0"/>
        <w:adjustRightInd w:val="0"/>
        <w:rPr>
          <w:rFonts w:ascii="Verdana" w:hAnsi="Verdana" w:cs="Verdana"/>
          <w:color w:val="171717"/>
          <w:sz w:val="32"/>
          <w:szCs w:val="32"/>
          <w:lang w:val="fr-FR"/>
        </w:rPr>
      </w:pPr>
    </w:p>
    <w:p w14:paraId="33CF0B8A" w14:textId="77777777" w:rsidR="00D27B60" w:rsidRPr="00F015DD" w:rsidRDefault="00D27B60" w:rsidP="00633EFC">
      <w:pPr>
        <w:widowControl w:val="0"/>
        <w:autoSpaceDE w:val="0"/>
        <w:autoSpaceDN w:val="0"/>
        <w:adjustRightInd w:val="0"/>
        <w:rPr>
          <w:rFonts w:asciiTheme="majorHAnsi" w:hAnsiTheme="majorHAnsi" w:cs="Verdana"/>
          <w:b/>
          <w:color w:val="171717"/>
          <w:sz w:val="28"/>
          <w:szCs w:val="28"/>
          <w:lang w:val="fr-FR"/>
        </w:rPr>
      </w:pPr>
      <w:r w:rsidRPr="00F015DD">
        <w:rPr>
          <w:rFonts w:asciiTheme="majorHAnsi" w:hAnsiTheme="majorHAnsi" w:cs="Verdana"/>
          <w:b/>
          <w:color w:val="171717"/>
          <w:sz w:val="28"/>
          <w:szCs w:val="28"/>
          <w:lang w:val="fr-FR"/>
        </w:rPr>
        <w:t>Introduction</w:t>
      </w:r>
    </w:p>
    <w:p w14:paraId="28FA7584" w14:textId="77777777" w:rsidR="00D27B60" w:rsidRPr="00F015DD" w:rsidRDefault="00D27B60" w:rsidP="00E5569C">
      <w:pPr>
        <w:widowControl w:val="0"/>
        <w:autoSpaceDE w:val="0"/>
        <w:autoSpaceDN w:val="0"/>
        <w:adjustRightInd w:val="0"/>
        <w:jc w:val="both"/>
        <w:rPr>
          <w:rFonts w:asciiTheme="majorHAnsi" w:hAnsiTheme="majorHAnsi" w:cs="Verdana"/>
          <w:color w:val="171717"/>
          <w:lang w:val="fr-FR"/>
        </w:rPr>
      </w:pPr>
    </w:p>
    <w:p w14:paraId="24967B17" w14:textId="697E7205" w:rsidR="005D2DDB" w:rsidRPr="00F015DD" w:rsidRDefault="00BD1F00" w:rsidP="005D2DDB">
      <w:pPr>
        <w:widowControl w:val="0"/>
        <w:autoSpaceDE w:val="0"/>
        <w:autoSpaceDN w:val="0"/>
        <w:adjustRightInd w:val="0"/>
        <w:jc w:val="both"/>
        <w:rPr>
          <w:rFonts w:asciiTheme="majorHAnsi" w:hAnsiTheme="majorHAnsi" w:cs="Verdana"/>
          <w:color w:val="171717"/>
          <w:lang w:val="fr-FR"/>
        </w:rPr>
      </w:pPr>
      <w:r w:rsidRPr="00F015DD">
        <w:rPr>
          <w:rFonts w:asciiTheme="majorHAnsi" w:hAnsiTheme="majorHAnsi" w:cs="Verdana"/>
          <w:color w:val="171717"/>
          <w:lang w:val="fr-FR"/>
        </w:rPr>
        <w:t>Depuis le 11 septembre, les restrictions imposées à la liberté d'expression se sont multipliées à travers le monde et ont été justifiées par le besoin de préserver la sécurité nationale. En 2</w:t>
      </w:r>
      <w:r w:rsidR="00C46469" w:rsidRPr="00F015DD">
        <w:rPr>
          <w:rFonts w:asciiTheme="majorHAnsi" w:hAnsiTheme="majorHAnsi" w:cs="Verdana"/>
          <w:color w:val="171717"/>
          <w:lang w:val="fr-FR"/>
        </w:rPr>
        <w:t xml:space="preserve">015, la montée de </w:t>
      </w:r>
      <w:proofErr w:type="spellStart"/>
      <w:r w:rsidR="00C46469" w:rsidRPr="00F015DD">
        <w:rPr>
          <w:rFonts w:asciiTheme="majorHAnsi" w:hAnsiTheme="majorHAnsi" w:cs="Verdana"/>
          <w:color w:val="171717"/>
          <w:lang w:val="fr-FR"/>
        </w:rPr>
        <w:t>Daesh</w:t>
      </w:r>
      <w:proofErr w:type="spellEnd"/>
      <w:r w:rsidR="00C46469" w:rsidRPr="00F015DD">
        <w:rPr>
          <w:rFonts w:asciiTheme="majorHAnsi" w:hAnsiTheme="majorHAnsi" w:cs="Verdana"/>
          <w:color w:val="171717"/>
          <w:lang w:val="fr-FR"/>
        </w:rPr>
        <w:t>/ EI</w:t>
      </w:r>
      <w:r w:rsidRPr="00F015DD">
        <w:rPr>
          <w:rFonts w:asciiTheme="majorHAnsi" w:hAnsiTheme="majorHAnsi" w:cs="Verdana"/>
          <w:color w:val="171717"/>
          <w:lang w:val="fr-FR"/>
        </w:rPr>
        <w:t xml:space="preserve">, responsable des attaques terroristes en Irak, en Syrie, en France et en Tunisie pour ne citer que ces quelques pays, a donné lieu à </w:t>
      </w:r>
      <w:r w:rsidR="005D2DDB" w:rsidRPr="00F015DD">
        <w:rPr>
          <w:rFonts w:asciiTheme="majorHAnsi" w:hAnsiTheme="majorHAnsi" w:cs="Verdana"/>
          <w:color w:val="171717"/>
          <w:lang w:val="fr-FR"/>
        </w:rPr>
        <w:t>l’adoption de nouvelles mesures</w:t>
      </w:r>
      <w:r w:rsidRPr="00F015DD">
        <w:rPr>
          <w:rFonts w:asciiTheme="majorHAnsi" w:hAnsiTheme="majorHAnsi" w:cs="Verdana"/>
          <w:color w:val="171717"/>
          <w:lang w:val="fr-FR"/>
        </w:rPr>
        <w:t xml:space="preserve">, </w:t>
      </w:r>
      <w:r w:rsidR="005D2DDB" w:rsidRPr="00F015DD">
        <w:rPr>
          <w:rFonts w:asciiTheme="majorHAnsi" w:hAnsiTheme="majorHAnsi" w:cs="Verdana"/>
          <w:color w:val="171717"/>
          <w:lang w:val="fr-FR"/>
        </w:rPr>
        <w:t xml:space="preserve">telle que </w:t>
      </w:r>
      <w:r w:rsidRPr="00F015DD">
        <w:rPr>
          <w:rFonts w:asciiTheme="majorHAnsi" w:hAnsiTheme="majorHAnsi" w:cs="Verdana"/>
          <w:color w:val="171717"/>
          <w:lang w:val="fr-FR"/>
        </w:rPr>
        <w:t xml:space="preserve">la promulgation de l'état d'urgence, </w:t>
      </w:r>
      <w:r w:rsidR="005D2DDB" w:rsidRPr="00F015DD">
        <w:rPr>
          <w:rFonts w:asciiTheme="majorHAnsi" w:hAnsiTheme="majorHAnsi" w:cs="Verdana"/>
          <w:color w:val="171717"/>
          <w:lang w:val="fr-FR"/>
        </w:rPr>
        <w:t xml:space="preserve">et </w:t>
      </w:r>
      <w:r w:rsidRPr="00F015DD">
        <w:rPr>
          <w:rFonts w:asciiTheme="majorHAnsi" w:hAnsiTheme="majorHAnsi" w:cs="Verdana"/>
          <w:color w:val="171717"/>
          <w:lang w:val="fr-FR"/>
        </w:rPr>
        <w:t>l'adoption de nouvelles lois antiterroriste</w:t>
      </w:r>
      <w:r w:rsidR="00C46469" w:rsidRPr="00F015DD">
        <w:rPr>
          <w:rFonts w:asciiTheme="majorHAnsi" w:hAnsiTheme="majorHAnsi" w:cs="Verdana"/>
          <w:color w:val="171717"/>
          <w:lang w:val="fr-FR"/>
        </w:rPr>
        <w:t>s</w:t>
      </w:r>
      <w:r w:rsidR="005D2DDB" w:rsidRPr="00F015DD">
        <w:rPr>
          <w:rFonts w:asciiTheme="majorHAnsi" w:hAnsiTheme="majorHAnsi" w:cs="Verdana"/>
          <w:color w:val="171717"/>
          <w:lang w:val="fr-FR"/>
        </w:rPr>
        <w:t xml:space="preserve"> et de surveillance. </w:t>
      </w:r>
      <w:r w:rsidRPr="00F015DD">
        <w:rPr>
          <w:rFonts w:asciiTheme="majorHAnsi" w:hAnsiTheme="majorHAnsi" w:cs="Verdana"/>
          <w:color w:val="171717"/>
          <w:lang w:val="fr-FR"/>
        </w:rPr>
        <w:t xml:space="preserve"> </w:t>
      </w:r>
    </w:p>
    <w:p w14:paraId="0C66AA03" w14:textId="77777777" w:rsidR="00272F1D" w:rsidRPr="00F015DD" w:rsidRDefault="00272F1D" w:rsidP="00272F1D">
      <w:pPr>
        <w:rPr>
          <w:lang w:val="fr-FR"/>
        </w:rPr>
      </w:pPr>
    </w:p>
    <w:p w14:paraId="5994E052" w14:textId="546A1A1E" w:rsidR="00633EFC" w:rsidRPr="00F015DD" w:rsidRDefault="00BD1F00" w:rsidP="00E5569C">
      <w:pPr>
        <w:widowControl w:val="0"/>
        <w:autoSpaceDE w:val="0"/>
        <w:autoSpaceDN w:val="0"/>
        <w:adjustRightInd w:val="0"/>
        <w:jc w:val="both"/>
        <w:rPr>
          <w:rFonts w:asciiTheme="majorHAnsi" w:hAnsiTheme="majorHAnsi" w:cs="Verdana"/>
          <w:color w:val="171717"/>
          <w:lang w:val="fr-FR"/>
        </w:rPr>
      </w:pPr>
      <w:r w:rsidRPr="00F015DD">
        <w:rPr>
          <w:rFonts w:asciiTheme="majorHAnsi" w:hAnsiTheme="majorHAnsi" w:cs="Verdana"/>
          <w:color w:val="171717"/>
          <w:lang w:val="fr-FR"/>
        </w:rPr>
        <w:t xml:space="preserve">Les tribunaux et les juges ont </w:t>
      </w:r>
      <w:r w:rsidR="0076516B" w:rsidRPr="00F015DD">
        <w:rPr>
          <w:rFonts w:asciiTheme="majorHAnsi" w:hAnsiTheme="majorHAnsi" w:cs="Verdana"/>
          <w:color w:val="171717"/>
          <w:lang w:val="fr-FR"/>
        </w:rPr>
        <w:t>à</w:t>
      </w:r>
      <w:r w:rsidRPr="00F015DD">
        <w:rPr>
          <w:rFonts w:asciiTheme="majorHAnsi" w:hAnsiTheme="majorHAnsi" w:cs="Verdana"/>
          <w:color w:val="171717"/>
          <w:lang w:val="fr-FR"/>
        </w:rPr>
        <w:t xml:space="preserve"> se prononcer sur un nombre grandissant d'affaires de personnes accusées de diverses infractions en rapport avec la liberté d'expression au motif de porter atteinte à la sécurité nationale</w:t>
      </w:r>
      <w:r w:rsidR="00E83314" w:rsidRPr="00F015DD">
        <w:rPr>
          <w:rFonts w:asciiTheme="majorHAnsi" w:hAnsiTheme="majorHAnsi" w:cs="Verdana"/>
          <w:color w:val="171717"/>
          <w:lang w:val="fr-FR"/>
        </w:rPr>
        <w:t>,</w:t>
      </w:r>
      <w:r w:rsidRPr="00F015DD">
        <w:rPr>
          <w:rFonts w:asciiTheme="majorHAnsi" w:hAnsiTheme="majorHAnsi" w:cs="Verdana"/>
          <w:color w:val="171717"/>
          <w:lang w:val="fr-FR"/>
        </w:rPr>
        <w:t xml:space="preserve"> dont l'incitation à la violence ou la glorification du terrorisme. </w:t>
      </w:r>
    </w:p>
    <w:p w14:paraId="3F6EA293" w14:textId="77777777" w:rsidR="00B17125" w:rsidRPr="00F015DD" w:rsidRDefault="00B17125" w:rsidP="00E5569C">
      <w:pPr>
        <w:widowControl w:val="0"/>
        <w:autoSpaceDE w:val="0"/>
        <w:autoSpaceDN w:val="0"/>
        <w:adjustRightInd w:val="0"/>
        <w:jc w:val="both"/>
        <w:rPr>
          <w:rFonts w:asciiTheme="majorHAnsi" w:hAnsiTheme="majorHAnsi" w:cs="Verdana"/>
          <w:color w:val="171717"/>
          <w:lang w:val="fr-FR"/>
        </w:rPr>
      </w:pPr>
    </w:p>
    <w:p w14:paraId="125FB3C0" w14:textId="06FDBB37" w:rsidR="00E74734" w:rsidRPr="00F015DD" w:rsidRDefault="00BD1F00" w:rsidP="00E5569C">
      <w:pPr>
        <w:widowControl w:val="0"/>
        <w:autoSpaceDE w:val="0"/>
        <w:autoSpaceDN w:val="0"/>
        <w:adjustRightInd w:val="0"/>
        <w:jc w:val="both"/>
        <w:rPr>
          <w:rFonts w:asciiTheme="majorHAnsi" w:hAnsiTheme="majorHAnsi" w:cs="Verdana"/>
          <w:color w:val="171717"/>
          <w:lang w:val="fr-FR"/>
        </w:rPr>
      </w:pPr>
      <w:r w:rsidRPr="00F015DD">
        <w:rPr>
          <w:rFonts w:asciiTheme="majorHAnsi" w:hAnsiTheme="majorHAnsi" w:cs="Verdana"/>
          <w:color w:val="171717"/>
          <w:lang w:val="fr-FR"/>
        </w:rPr>
        <w:t>De tout temps, la sé</w:t>
      </w:r>
      <w:r w:rsidR="00093C84" w:rsidRPr="00F015DD">
        <w:rPr>
          <w:rFonts w:asciiTheme="majorHAnsi" w:hAnsiTheme="majorHAnsi" w:cs="Verdana"/>
          <w:color w:val="171717"/>
          <w:lang w:val="fr-FR"/>
        </w:rPr>
        <w:t>curité nationale et la</w:t>
      </w:r>
      <w:r w:rsidRPr="00F015DD">
        <w:rPr>
          <w:rFonts w:asciiTheme="majorHAnsi" w:hAnsiTheme="majorHAnsi" w:cs="Verdana"/>
          <w:color w:val="171717"/>
          <w:lang w:val="fr-FR"/>
        </w:rPr>
        <w:t xml:space="preserve"> </w:t>
      </w:r>
      <w:r w:rsidR="0076516B" w:rsidRPr="00F015DD">
        <w:rPr>
          <w:rFonts w:asciiTheme="majorHAnsi" w:hAnsiTheme="majorHAnsi" w:cs="Verdana"/>
          <w:color w:val="171717"/>
          <w:lang w:val="fr-FR"/>
        </w:rPr>
        <w:t xml:space="preserve">lutte contre le terrorisme ont </w:t>
      </w:r>
      <w:r w:rsidRPr="00F015DD">
        <w:rPr>
          <w:rFonts w:asciiTheme="majorHAnsi" w:hAnsiTheme="majorHAnsi" w:cs="Verdana"/>
          <w:color w:val="171717"/>
          <w:lang w:val="fr-FR"/>
        </w:rPr>
        <w:t>été invoquées par les gouvernements pour justifier la restriction excessive du droit à la liberté d'expression et d'autres droits. Un tel abus est facilité par la relation compliquée et la tension entre la sécurité nationale et la protection d</w:t>
      </w:r>
      <w:r w:rsidR="00C46469" w:rsidRPr="00F015DD">
        <w:rPr>
          <w:rFonts w:asciiTheme="majorHAnsi" w:hAnsiTheme="majorHAnsi" w:cs="Verdana"/>
          <w:color w:val="171717"/>
          <w:lang w:val="fr-FR"/>
        </w:rPr>
        <w:t>es droits de l'homme. Le pouvoir</w:t>
      </w:r>
      <w:r w:rsidRPr="00F015DD">
        <w:rPr>
          <w:rFonts w:asciiTheme="majorHAnsi" w:hAnsiTheme="majorHAnsi" w:cs="Verdana"/>
          <w:color w:val="171717"/>
          <w:lang w:val="fr-FR"/>
        </w:rPr>
        <w:t xml:space="preserve"> judiciaire joue un rôle clé dans le traitement et la résolution de cette tension</w:t>
      </w:r>
      <w:r w:rsidR="007716E9" w:rsidRPr="00F015DD">
        <w:rPr>
          <w:rStyle w:val="FootnoteReference"/>
          <w:rFonts w:asciiTheme="majorHAnsi" w:hAnsiTheme="majorHAnsi" w:cs="Verdana"/>
          <w:color w:val="171717"/>
          <w:lang w:val="fr-FR"/>
        </w:rPr>
        <w:footnoteReference w:id="2"/>
      </w:r>
      <w:r w:rsidR="00A2123C" w:rsidRPr="00F015DD">
        <w:rPr>
          <w:rFonts w:asciiTheme="majorHAnsi" w:hAnsiTheme="majorHAnsi" w:cs="Verdana"/>
          <w:color w:val="171717"/>
          <w:lang w:val="fr-FR"/>
        </w:rPr>
        <w:t xml:space="preserve">. </w:t>
      </w:r>
      <w:r w:rsidRPr="00F015DD">
        <w:rPr>
          <w:rFonts w:asciiTheme="majorHAnsi" w:hAnsiTheme="majorHAnsi" w:cs="Verdana"/>
          <w:color w:val="171717"/>
          <w:lang w:val="fr-FR"/>
        </w:rPr>
        <w:t xml:space="preserve">Cela se fait à travers la </w:t>
      </w:r>
      <w:r w:rsidRPr="00F015DD">
        <w:rPr>
          <w:rFonts w:asciiTheme="majorHAnsi" w:hAnsiTheme="majorHAnsi" w:cs="Verdana"/>
          <w:color w:val="171717"/>
          <w:u w:val="single"/>
          <w:lang w:val="fr-FR"/>
        </w:rPr>
        <w:t>mise en équilibre</w:t>
      </w:r>
      <w:r w:rsidRPr="00F015DD">
        <w:rPr>
          <w:rFonts w:asciiTheme="majorHAnsi" w:hAnsiTheme="majorHAnsi" w:cs="Verdana"/>
          <w:color w:val="171717"/>
          <w:lang w:val="fr-FR"/>
        </w:rPr>
        <w:t xml:space="preserve"> de la sécurité nationale d'un côté et la protection des droits </w:t>
      </w:r>
      <w:r w:rsidR="00E83314" w:rsidRPr="00F015DD">
        <w:rPr>
          <w:rFonts w:asciiTheme="majorHAnsi" w:hAnsiTheme="majorHAnsi" w:cs="Verdana"/>
          <w:color w:val="171717"/>
          <w:lang w:val="fr-FR"/>
        </w:rPr>
        <w:t>humains</w:t>
      </w:r>
      <w:r w:rsidR="00C46469" w:rsidRPr="00F015DD">
        <w:rPr>
          <w:rFonts w:asciiTheme="majorHAnsi" w:hAnsiTheme="majorHAnsi" w:cs="Verdana"/>
          <w:color w:val="171717"/>
          <w:lang w:val="fr-FR"/>
        </w:rPr>
        <w:t xml:space="preserve"> d'un autre côté,</w:t>
      </w:r>
      <w:r w:rsidRPr="00F015DD">
        <w:rPr>
          <w:rFonts w:asciiTheme="majorHAnsi" w:hAnsiTheme="majorHAnsi" w:cs="Verdana"/>
          <w:color w:val="171717"/>
          <w:lang w:val="fr-FR"/>
        </w:rPr>
        <w:t xml:space="preserve"> dont la liberté d'expression. </w:t>
      </w:r>
    </w:p>
    <w:p w14:paraId="7C7F9820" w14:textId="77777777" w:rsidR="00E74734" w:rsidRPr="00F015DD" w:rsidRDefault="00E74734" w:rsidP="00E5569C">
      <w:pPr>
        <w:widowControl w:val="0"/>
        <w:autoSpaceDE w:val="0"/>
        <w:autoSpaceDN w:val="0"/>
        <w:adjustRightInd w:val="0"/>
        <w:jc w:val="both"/>
        <w:rPr>
          <w:rFonts w:asciiTheme="majorHAnsi" w:hAnsiTheme="majorHAnsi" w:cs="Verdana"/>
          <w:color w:val="171717"/>
          <w:lang w:val="fr-FR"/>
        </w:rPr>
      </w:pPr>
    </w:p>
    <w:p w14:paraId="45FBF97D" w14:textId="77777777" w:rsidR="007C7274" w:rsidRPr="00F015DD" w:rsidRDefault="0076516B" w:rsidP="00E5569C">
      <w:pPr>
        <w:widowControl w:val="0"/>
        <w:autoSpaceDE w:val="0"/>
        <w:autoSpaceDN w:val="0"/>
        <w:adjustRightInd w:val="0"/>
        <w:jc w:val="both"/>
        <w:rPr>
          <w:rFonts w:asciiTheme="majorHAnsi" w:hAnsiTheme="majorHAnsi" w:cs="Verdana"/>
          <w:b/>
          <w:color w:val="171717"/>
          <w:lang w:val="fr-FR"/>
        </w:rPr>
      </w:pPr>
      <w:r w:rsidRPr="00F015DD">
        <w:rPr>
          <w:rFonts w:asciiTheme="majorHAnsi" w:hAnsiTheme="majorHAnsi" w:cs="Verdana"/>
          <w:b/>
          <w:color w:val="171717"/>
          <w:lang w:val="fr-FR"/>
        </w:rPr>
        <w:t>Au fil du temps</w:t>
      </w:r>
      <w:r w:rsidR="00F43897" w:rsidRPr="00F015DD">
        <w:rPr>
          <w:rFonts w:asciiTheme="majorHAnsi" w:hAnsiTheme="majorHAnsi" w:cs="Verdana"/>
          <w:b/>
          <w:color w:val="171717"/>
          <w:lang w:val="fr-FR"/>
        </w:rPr>
        <w:t xml:space="preserve">, </w:t>
      </w:r>
      <w:r w:rsidRPr="00F015DD">
        <w:rPr>
          <w:rFonts w:asciiTheme="majorHAnsi" w:hAnsiTheme="majorHAnsi" w:cs="Verdana"/>
          <w:b/>
          <w:color w:val="171717"/>
          <w:lang w:val="fr-FR"/>
        </w:rPr>
        <w:t xml:space="preserve">un ensemble de principes généraux a vu le jour et devrait servir à orienter les tribunaux dans les jugements à prononcer: </w:t>
      </w:r>
    </w:p>
    <w:p w14:paraId="6E9EFF9B" w14:textId="77777777" w:rsidR="006B0DC6" w:rsidRPr="00F015DD" w:rsidRDefault="006B0DC6" w:rsidP="00E5569C">
      <w:pPr>
        <w:widowControl w:val="0"/>
        <w:autoSpaceDE w:val="0"/>
        <w:autoSpaceDN w:val="0"/>
        <w:adjustRightInd w:val="0"/>
        <w:jc w:val="both"/>
        <w:rPr>
          <w:rFonts w:asciiTheme="majorHAnsi" w:hAnsiTheme="majorHAnsi" w:cs="Verdana"/>
          <w:color w:val="171717"/>
          <w:lang w:val="fr-FR"/>
        </w:rPr>
      </w:pPr>
    </w:p>
    <w:p w14:paraId="64C0DD49" w14:textId="3EE2EBEE" w:rsidR="007C7274" w:rsidRPr="00F015DD" w:rsidRDefault="0076516B" w:rsidP="002321CE">
      <w:pPr>
        <w:pStyle w:val="ListParagraph"/>
        <w:widowControl w:val="0"/>
        <w:numPr>
          <w:ilvl w:val="0"/>
          <w:numId w:val="15"/>
        </w:numPr>
        <w:autoSpaceDE w:val="0"/>
        <w:autoSpaceDN w:val="0"/>
        <w:adjustRightInd w:val="0"/>
        <w:jc w:val="both"/>
        <w:rPr>
          <w:rFonts w:asciiTheme="majorHAnsi" w:hAnsiTheme="majorHAnsi" w:cs="Arial"/>
          <w:lang w:val="fr-FR"/>
        </w:rPr>
      </w:pPr>
      <w:r w:rsidRPr="00F015DD">
        <w:rPr>
          <w:rFonts w:asciiTheme="majorHAnsi" w:hAnsiTheme="majorHAnsi" w:cs="Arial"/>
          <w:lang w:val="fr-FR"/>
        </w:rPr>
        <w:t xml:space="preserve">Certains droits </w:t>
      </w:r>
      <w:r w:rsidR="00E83314" w:rsidRPr="00F015DD">
        <w:rPr>
          <w:rFonts w:asciiTheme="majorHAnsi" w:hAnsiTheme="majorHAnsi" w:cs="Arial"/>
          <w:lang w:val="fr-FR"/>
        </w:rPr>
        <w:t>humains</w:t>
      </w:r>
      <w:r w:rsidRPr="00F015DD">
        <w:rPr>
          <w:rFonts w:asciiTheme="majorHAnsi" w:hAnsiTheme="majorHAnsi" w:cs="Arial"/>
          <w:lang w:val="fr-FR"/>
        </w:rPr>
        <w:t xml:space="preserve">, définis dans l'article 4 du </w:t>
      </w:r>
      <w:r w:rsidRPr="00F015DD">
        <w:rPr>
          <w:rFonts w:asciiTheme="majorHAnsi" w:hAnsiTheme="majorHAnsi" w:cs="Verdana"/>
          <w:bCs/>
          <w:color w:val="242424"/>
          <w:lang w:val="fr-FR"/>
        </w:rPr>
        <w:t>Pacte international relatif aux droits civils et politiques</w:t>
      </w:r>
      <w:r w:rsidR="00613EF4" w:rsidRPr="00F015DD">
        <w:rPr>
          <w:rFonts w:asciiTheme="majorHAnsi" w:hAnsiTheme="majorHAnsi" w:cs="Verdana"/>
          <w:bCs/>
          <w:color w:val="242424"/>
          <w:lang w:val="fr-FR"/>
        </w:rPr>
        <w:t xml:space="preserve"> (ICCPR)</w:t>
      </w:r>
      <w:r w:rsidRPr="00F015DD">
        <w:rPr>
          <w:rFonts w:asciiTheme="majorHAnsi" w:hAnsiTheme="majorHAnsi" w:cs="Arial"/>
          <w:lang w:val="fr-FR"/>
        </w:rPr>
        <w:t xml:space="preserve">, ne peuvent jamais être suspendus même </w:t>
      </w:r>
      <w:r w:rsidRPr="00F015DD">
        <w:rPr>
          <w:rFonts w:asciiTheme="majorHAnsi" w:hAnsiTheme="majorHAnsi" w:cs="Arial"/>
          <w:lang w:val="fr-FR"/>
        </w:rPr>
        <w:lastRenderedPageBreak/>
        <w:t xml:space="preserve">lorsque l'état d'urgence est décrété (Voir le chapitre I-1 ci-dessous) </w:t>
      </w:r>
    </w:p>
    <w:p w14:paraId="55F61CA6" w14:textId="77777777" w:rsidR="00E74734" w:rsidRPr="00F015DD" w:rsidRDefault="00E74734" w:rsidP="00E74734">
      <w:pPr>
        <w:pStyle w:val="ListParagraph"/>
        <w:widowControl w:val="0"/>
        <w:autoSpaceDE w:val="0"/>
        <w:autoSpaceDN w:val="0"/>
        <w:adjustRightInd w:val="0"/>
        <w:jc w:val="both"/>
        <w:rPr>
          <w:rFonts w:asciiTheme="majorHAnsi" w:hAnsiTheme="majorHAnsi" w:cs="Arial"/>
          <w:lang w:val="fr-FR"/>
        </w:rPr>
      </w:pPr>
    </w:p>
    <w:p w14:paraId="5DB5F20E" w14:textId="77777777" w:rsidR="002321CE" w:rsidRPr="00F015DD" w:rsidRDefault="0076516B" w:rsidP="002321CE">
      <w:pPr>
        <w:pStyle w:val="ListParagraph"/>
        <w:widowControl w:val="0"/>
        <w:numPr>
          <w:ilvl w:val="0"/>
          <w:numId w:val="15"/>
        </w:numPr>
        <w:autoSpaceDE w:val="0"/>
        <w:autoSpaceDN w:val="0"/>
        <w:adjustRightInd w:val="0"/>
        <w:jc w:val="both"/>
        <w:rPr>
          <w:rFonts w:asciiTheme="majorHAnsi" w:hAnsiTheme="majorHAnsi" w:cs="Verdana"/>
          <w:color w:val="171717"/>
          <w:lang w:val="fr-FR"/>
        </w:rPr>
      </w:pPr>
      <w:r w:rsidRPr="00F015DD">
        <w:rPr>
          <w:rFonts w:asciiTheme="majorHAnsi" w:hAnsiTheme="majorHAnsi" w:cs="Verdana"/>
          <w:color w:val="171717"/>
          <w:lang w:val="fr-FR"/>
        </w:rPr>
        <w:t>D'autres droits peuvent être restreints dans les conditions prévues par le droit international des droits de l'homme</w:t>
      </w:r>
      <w:r w:rsidR="00D27B60" w:rsidRPr="00F015DD">
        <w:rPr>
          <w:rFonts w:asciiTheme="majorHAnsi" w:hAnsiTheme="majorHAnsi" w:cs="Verdana"/>
          <w:color w:val="171717"/>
          <w:lang w:val="fr-FR"/>
        </w:rPr>
        <w:t xml:space="preserve">.  </w:t>
      </w:r>
      <w:r w:rsidRPr="00F015DD">
        <w:rPr>
          <w:rFonts w:asciiTheme="majorHAnsi" w:hAnsiTheme="majorHAnsi" w:cs="Verdana"/>
          <w:color w:val="171717"/>
          <w:lang w:val="fr-FR"/>
        </w:rPr>
        <w:t xml:space="preserve">La liberté d'expression peut être restreinte dans les conditions énoncées dans l'article 19 (3) </w:t>
      </w:r>
      <w:r w:rsidR="00D27B60" w:rsidRPr="00F015DD">
        <w:rPr>
          <w:rFonts w:asciiTheme="majorHAnsi" w:hAnsiTheme="majorHAnsi" w:cs="Verdana"/>
          <w:color w:val="171717"/>
          <w:lang w:val="fr-FR"/>
        </w:rPr>
        <w:t xml:space="preserve">; </w:t>
      </w:r>
      <w:r w:rsidRPr="00F015DD">
        <w:rPr>
          <w:rFonts w:asciiTheme="majorHAnsi" w:hAnsiTheme="majorHAnsi" w:cs="Verdana"/>
          <w:color w:val="171717"/>
          <w:lang w:val="fr-FR"/>
        </w:rPr>
        <w:t xml:space="preserve">le </w:t>
      </w:r>
      <w:r w:rsidRPr="00F015DD">
        <w:rPr>
          <w:rFonts w:asciiTheme="majorHAnsi" w:hAnsiTheme="majorHAnsi" w:cs="Verdana"/>
          <w:b/>
          <w:color w:val="171717"/>
          <w:lang w:val="fr-FR"/>
        </w:rPr>
        <w:t>test décisif étant celui de la proportion</w:t>
      </w:r>
      <w:r w:rsidR="00C46469" w:rsidRPr="00F015DD">
        <w:rPr>
          <w:rFonts w:asciiTheme="majorHAnsi" w:hAnsiTheme="majorHAnsi" w:cs="Verdana"/>
          <w:b/>
          <w:color w:val="171717"/>
          <w:lang w:val="fr-FR"/>
        </w:rPr>
        <w:t>n</w:t>
      </w:r>
      <w:r w:rsidRPr="00F015DD">
        <w:rPr>
          <w:rFonts w:asciiTheme="majorHAnsi" w:hAnsiTheme="majorHAnsi" w:cs="Verdana"/>
          <w:b/>
          <w:color w:val="171717"/>
          <w:lang w:val="fr-FR"/>
        </w:rPr>
        <w:t>alité</w:t>
      </w:r>
      <w:r w:rsidRPr="00F015DD">
        <w:rPr>
          <w:rFonts w:asciiTheme="majorHAnsi" w:hAnsiTheme="majorHAnsi" w:cs="Verdana"/>
          <w:color w:val="171717"/>
          <w:lang w:val="fr-FR"/>
        </w:rPr>
        <w:t xml:space="preserve"> </w:t>
      </w:r>
      <w:r w:rsidR="00F43897" w:rsidRPr="00F015DD">
        <w:rPr>
          <w:rFonts w:asciiTheme="majorHAnsi" w:hAnsiTheme="majorHAnsi" w:cs="Verdana"/>
          <w:color w:val="171717"/>
          <w:lang w:val="fr-FR"/>
        </w:rPr>
        <w:t>(</w:t>
      </w:r>
      <w:r w:rsidRPr="00F015DD">
        <w:rPr>
          <w:rFonts w:asciiTheme="majorHAnsi" w:hAnsiTheme="majorHAnsi" w:cs="Verdana"/>
          <w:color w:val="171717"/>
          <w:lang w:val="fr-FR"/>
        </w:rPr>
        <w:t>Voir le chapitre</w:t>
      </w:r>
      <w:r w:rsidR="00F43897" w:rsidRPr="00F015DD">
        <w:rPr>
          <w:rFonts w:asciiTheme="majorHAnsi" w:hAnsiTheme="majorHAnsi" w:cs="Verdana"/>
          <w:color w:val="171717"/>
          <w:lang w:val="fr-FR"/>
        </w:rPr>
        <w:t xml:space="preserve"> I.2)</w:t>
      </w:r>
    </w:p>
    <w:p w14:paraId="2813F68D" w14:textId="77777777" w:rsidR="00D27B60" w:rsidRPr="00F015DD" w:rsidRDefault="00D27B60" w:rsidP="00D27B60">
      <w:pPr>
        <w:pStyle w:val="ListParagraph"/>
        <w:widowControl w:val="0"/>
        <w:autoSpaceDE w:val="0"/>
        <w:autoSpaceDN w:val="0"/>
        <w:adjustRightInd w:val="0"/>
        <w:jc w:val="both"/>
        <w:rPr>
          <w:rFonts w:asciiTheme="majorHAnsi" w:hAnsiTheme="majorHAnsi" w:cs="Verdana"/>
          <w:color w:val="171717"/>
          <w:lang w:val="fr-FR"/>
        </w:rPr>
      </w:pPr>
    </w:p>
    <w:p w14:paraId="20E6558B" w14:textId="01CEE323" w:rsidR="00F64EBC" w:rsidRPr="00F015DD" w:rsidRDefault="0076516B" w:rsidP="002321CE">
      <w:pPr>
        <w:pStyle w:val="ListParagraph"/>
        <w:widowControl w:val="0"/>
        <w:numPr>
          <w:ilvl w:val="0"/>
          <w:numId w:val="15"/>
        </w:numPr>
        <w:autoSpaceDE w:val="0"/>
        <w:autoSpaceDN w:val="0"/>
        <w:adjustRightInd w:val="0"/>
        <w:jc w:val="both"/>
        <w:rPr>
          <w:rFonts w:asciiTheme="majorHAnsi" w:hAnsiTheme="majorHAnsi" w:cs="Verdana"/>
          <w:color w:val="171717"/>
          <w:lang w:val="fr-FR"/>
        </w:rPr>
      </w:pPr>
      <w:r w:rsidRPr="00F015DD">
        <w:rPr>
          <w:rFonts w:asciiTheme="majorHAnsi" w:hAnsiTheme="majorHAnsi" w:cs="Arial"/>
          <w:lang w:val="fr-FR"/>
        </w:rPr>
        <w:t>Lorsque les droits d'un individu viennent à être violés à cause d</w:t>
      </w:r>
      <w:r w:rsidR="00E83314" w:rsidRPr="00F015DD">
        <w:rPr>
          <w:rFonts w:asciiTheme="majorHAnsi" w:hAnsiTheme="majorHAnsi" w:cs="Arial"/>
          <w:lang w:val="fr-FR"/>
        </w:rPr>
        <w:t xml:space="preserve">’un </w:t>
      </w:r>
      <w:r w:rsidRPr="00F015DD">
        <w:rPr>
          <w:rFonts w:asciiTheme="majorHAnsi" w:hAnsiTheme="majorHAnsi" w:cs="Arial"/>
          <w:lang w:val="fr-FR"/>
        </w:rPr>
        <w:t xml:space="preserve">usage </w:t>
      </w:r>
      <w:r w:rsidR="00E83314" w:rsidRPr="00F015DD">
        <w:rPr>
          <w:rFonts w:asciiTheme="majorHAnsi" w:hAnsiTheme="majorHAnsi" w:cs="Arial"/>
          <w:lang w:val="fr-FR"/>
        </w:rPr>
        <w:t xml:space="preserve">abusif </w:t>
      </w:r>
      <w:r w:rsidRPr="00F015DD">
        <w:rPr>
          <w:rFonts w:asciiTheme="majorHAnsi" w:hAnsiTheme="majorHAnsi" w:cs="Arial"/>
          <w:lang w:val="fr-FR"/>
        </w:rPr>
        <w:t>de la sécurité nationale ou de la lutte contre le terrorisme</w:t>
      </w:r>
      <w:r w:rsidR="00F64EBC" w:rsidRPr="00F015DD">
        <w:rPr>
          <w:rFonts w:asciiTheme="majorHAnsi" w:hAnsiTheme="majorHAnsi" w:cs="Arial"/>
          <w:lang w:val="fr-FR"/>
        </w:rPr>
        <w:t xml:space="preserve">, </w:t>
      </w:r>
      <w:r w:rsidRPr="00F015DD">
        <w:rPr>
          <w:rFonts w:asciiTheme="majorHAnsi" w:hAnsiTheme="majorHAnsi" w:cs="Arial"/>
          <w:lang w:val="fr-FR"/>
        </w:rPr>
        <w:t xml:space="preserve">cet individu doit avoir accès à un recours effectif qui peut comprendre une indemnisation et ce en fonction du préjudice subi. Une telle approche est compatible avec l'article </w:t>
      </w:r>
      <w:r w:rsidR="00F64EBC" w:rsidRPr="00F015DD">
        <w:rPr>
          <w:rFonts w:asciiTheme="majorHAnsi" w:hAnsiTheme="majorHAnsi" w:cs="Arial"/>
          <w:lang w:val="fr-FR"/>
        </w:rPr>
        <w:t xml:space="preserve">2(3) </w:t>
      </w:r>
      <w:r w:rsidRPr="00F015DD">
        <w:rPr>
          <w:rFonts w:asciiTheme="majorHAnsi" w:hAnsiTheme="majorHAnsi" w:cs="Arial"/>
          <w:lang w:val="fr-FR"/>
        </w:rPr>
        <w:t xml:space="preserve">du </w:t>
      </w:r>
      <w:r w:rsidRPr="00F015DD">
        <w:rPr>
          <w:rFonts w:asciiTheme="majorHAnsi" w:hAnsiTheme="majorHAnsi" w:cs="Verdana"/>
          <w:bCs/>
          <w:color w:val="242424"/>
          <w:lang w:val="fr-FR"/>
        </w:rPr>
        <w:t>Pacte international relatif aux droits civils et politiques</w:t>
      </w:r>
      <w:r w:rsidR="00F64EBC" w:rsidRPr="00F015DD">
        <w:rPr>
          <w:rFonts w:asciiTheme="majorHAnsi" w:hAnsiTheme="majorHAnsi" w:cs="Arial"/>
          <w:lang w:val="fr-FR"/>
        </w:rPr>
        <w:t xml:space="preserve">, </w:t>
      </w:r>
      <w:r w:rsidRPr="00F015DD">
        <w:rPr>
          <w:rFonts w:asciiTheme="majorHAnsi" w:hAnsiTheme="majorHAnsi" w:cs="Arial"/>
          <w:lang w:val="fr-FR"/>
        </w:rPr>
        <w:t>qui prévoit que toute personne dont les droits humains auront été violés doit disposer d'un recours utile</w:t>
      </w:r>
      <w:r w:rsidR="00F43897" w:rsidRPr="00F015DD">
        <w:rPr>
          <w:rStyle w:val="FootnoteReference"/>
          <w:rFonts w:asciiTheme="majorHAnsi" w:hAnsiTheme="majorHAnsi" w:cs="Arial"/>
          <w:lang w:val="fr-FR"/>
        </w:rPr>
        <w:footnoteReference w:id="3"/>
      </w:r>
      <w:r w:rsidR="00F64EBC" w:rsidRPr="00F015DD">
        <w:rPr>
          <w:rFonts w:asciiTheme="majorHAnsi" w:hAnsiTheme="majorHAnsi" w:cs="Arial"/>
          <w:lang w:val="fr-FR"/>
        </w:rPr>
        <w:t>.</w:t>
      </w:r>
    </w:p>
    <w:p w14:paraId="3F6C7290" w14:textId="77777777" w:rsidR="00C10968" w:rsidRPr="00F015DD" w:rsidRDefault="00C10968" w:rsidP="00C10968">
      <w:pPr>
        <w:widowControl w:val="0"/>
        <w:autoSpaceDE w:val="0"/>
        <w:autoSpaceDN w:val="0"/>
        <w:adjustRightInd w:val="0"/>
        <w:jc w:val="both"/>
        <w:rPr>
          <w:rFonts w:asciiTheme="majorHAnsi" w:hAnsiTheme="majorHAnsi" w:cs="Verdana"/>
          <w:color w:val="171717"/>
          <w:lang w:val="fr-FR"/>
        </w:rPr>
      </w:pPr>
    </w:p>
    <w:p w14:paraId="3E73D993" w14:textId="77777777" w:rsidR="00C10968" w:rsidRPr="00F015DD" w:rsidRDefault="00C10968" w:rsidP="00C10968">
      <w:pPr>
        <w:pStyle w:val="ListParagraph"/>
        <w:widowControl w:val="0"/>
        <w:numPr>
          <w:ilvl w:val="0"/>
          <w:numId w:val="15"/>
        </w:numPr>
        <w:autoSpaceDE w:val="0"/>
        <w:autoSpaceDN w:val="0"/>
        <w:adjustRightInd w:val="0"/>
        <w:jc w:val="both"/>
        <w:rPr>
          <w:rFonts w:asciiTheme="majorHAnsi" w:hAnsiTheme="majorHAnsi" w:cs="Verdana"/>
          <w:color w:val="171717"/>
          <w:lang w:val="fr-FR"/>
        </w:rPr>
      </w:pPr>
      <w:r w:rsidRPr="00F015DD">
        <w:rPr>
          <w:rFonts w:asciiTheme="majorHAnsi" w:hAnsiTheme="majorHAnsi" w:cs="Arial"/>
          <w:lang w:val="fr-FR"/>
        </w:rPr>
        <w:t>Les personnes accusées d'infractions en matière de sécurité nationale doivent être jugées par le pouvoir judiciaire et non par les politiciens, ni par l'opinion publique ou les médias.</w:t>
      </w:r>
    </w:p>
    <w:p w14:paraId="7D6EBF61" w14:textId="77777777" w:rsidR="00A2123C" w:rsidRPr="00F015DD" w:rsidRDefault="00A2123C" w:rsidP="00E5569C">
      <w:pPr>
        <w:widowControl w:val="0"/>
        <w:autoSpaceDE w:val="0"/>
        <w:autoSpaceDN w:val="0"/>
        <w:adjustRightInd w:val="0"/>
        <w:jc w:val="both"/>
        <w:rPr>
          <w:rFonts w:asciiTheme="majorHAnsi" w:hAnsiTheme="majorHAnsi" w:cs="Verdana"/>
          <w:color w:val="171717"/>
          <w:lang w:val="fr-FR"/>
        </w:rPr>
      </w:pPr>
    </w:p>
    <w:tbl>
      <w:tblPr>
        <w:tblStyle w:val="TableGrid"/>
        <w:tblW w:w="0" w:type="auto"/>
        <w:tblLook w:val="04A0" w:firstRow="1" w:lastRow="0" w:firstColumn="1" w:lastColumn="0" w:noHBand="0" w:noVBand="1"/>
      </w:tblPr>
      <w:tblGrid>
        <w:gridCol w:w="8856"/>
      </w:tblGrid>
      <w:tr w:rsidR="00F64EBC" w:rsidRPr="00F015DD" w14:paraId="0F03F4E0" w14:textId="77777777" w:rsidTr="006D6209">
        <w:tc>
          <w:tcPr>
            <w:tcW w:w="8856" w:type="dxa"/>
            <w:shd w:val="clear" w:color="auto" w:fill="BFBFBF" w:themeFill="background1" w:themeFillShade="BF"/>
          </w:tcPr>
          <w:p w14:paraId="1CB0EA6C" w14:textId="77777777" w:rsidR="00F64EBC" w:rsidRPr="00F015DD" w:rsidRDefault="00F64EBC" w:rsidP="00F64EBC">
            <w:pPr>
              <w:widowControl w:val="0"/>
              <w:autoSpaceDE w:val="0"/>
              <w:autoSpaceDN w:val="0"/>
              <w:adjustRightInd w:val="0"/>
              <w:jc w:val="center"/>
              <w:rPr>
                <w:rFonts w:asciiTheme="majorHAnsi" w:hAnsiTheme="majorHAnsi" w:cs="Arial"/>
                <w:b/>
                <w:lang w:val="fr-FR"/>
              </w:rPr>
            </w:pPr>
            <w:r w:rsidRPr="00F015DD">
              <w:rPr>
                <w:rFonts w:asciiTheme="majorHAnsi" w:hAnsiTheme="majorHAnsi" w:cs="Arial"/>
                <w:b/>
                <w:lang w:val="fr-FR"/>
              </w:rPr>
              <w:t xml:space="preserve">Lord </w:t>
            </w:r>
            <w:proofErr w:type="spellStart"/>
            <w:r w:rsidRPr="00F015DD">
              <w:rPr>
                <w:rFonts w:asciiTheme="majorHAnsi" w:hAnsiTheme="majorHAnsi" w:cs="Arial"/>
                <w:b/>
                <w:lang w:val="fr-FR"/>
              </w:rPr>
              <w:t>Falconer</w:t>
            </w:r>
            <w:proofErr w:type="spellEnd"/>
            <w:r w:rsidRPr="00F015DD">
              <w:rPr>
                <w:rFonts w:asciiTheme="majorHAnsi" w:hAnsiTheme="majorHAnsi" w:cs="Arial"/>
                <w:b/>
                <w:lang w:val="fr-FR"/>
              </w:rPr>
              <w:t xml:space="preserve">, </w:t>
            </w:r>
            <w:r w:rsidR="0076516B" w:rsidRPr="00F015DD">
              <w:rPr>
                <w:rFonts w:asciiTheme="majorHAnsi" w:hAnsiTheme="majorHAnsi" w:cs="Arial"/>
                <w:b/>
                <w:lang w:val="fr-FR"/>
              </w:rPr>
              <w:t>mi</w:t>
            </w:r>
            <w:r w:rsidR="00C46469" w:rsidRPr="00F015DD">
              <w:rPr>
                <w:rFonts w:asciiTheme="majorHAnsi" w:hAnsiTheme="majorHAnsi" w:cs="Arial"/>
                <w:b/>
                <w:lang w:val="fr-FR"/>
              </w:rPr>
              <w:t>nistre de la justice du Royaume-</w:t>
            </w:r>
            <w:r w:rsidR="0076516B" w:rsidRPr="00F015DD">
              <w:rPr>
                <w:rFonts w:asciiTheme="majorHAnsi" w:hAnsiTheme="majorHAnsi" w:cs="Arial"/>
                <w:b/>
                <w:lang w:val="fr-FR"/>
              </w:rPr>
              <w:t>Uni a dit en 2006</w:t>
            </w:r>
            <w:r w:rsidRPr="00F015DD">
              <w:rPr>
                <w:rFonts w:asciiTheme="majorHAnsi" w:hAnsiTheme="majorHAnsi" w:cs="Arial"/>
                <w:b/>
                <w:lang w:val="fr-FR"/>
              </w:rPr>
              <w:t>:</w:t>
            </w:r>
          </w:p>
          <w:p w14:paraId="4A1DE037" w14:textId="77777777" w:rsidR="00F64EBC" w:rsidRPr="00F015DD" w:rsidRDefault="00F64EBC" w:rsidP="00F64EBC">
            <w:pPr>
              <w:widowControl w:val="0"/>
              <w:autoSpaceDE w:val="0"/>
              <w:autoSpaceDN w:val="0"/>
              <w:adjustRightInd w:val="0"/>
              <w:jc w:val="both"/>
              <w:rPr>
                <w:rFonts w:asciiTheme="majorHAnsi" w:hAnsiTheme="majorHAnsi" w:cs="Arial"/>
                <w:lang w:val="fr-FR"/>
              </w:rPr>
            </w:pPr>
          </w:p>
          <w:p w14:paraId="772F738C" w14:textId="77777777" w:rsidR="00F64EBC" w:rsidRPr="00F015DD" w:rsidRDefault="00F64EBC" w:rsidP="00F64EBC">
            <w:pPr>
              <w:widowControl w:val="0"/>
              <w:autoSpaceDE w:val="0"/>
              <w:autoSpaceDN w:val="0"/>
              <w:adjustRightInd w:val="0"/>
              <w:jc w:val="both"/>
              <w:rPr>
                <w:rFonts w:asciiTheme="majorHAnsi" w:hAnsiTheme="majorHAnsi" w:cs="Verdana"/>
                <w:color w:val="171717"/>
                <w:lang w:val="fr-FR"/>
              </w:rPr>
            </w:pPr>
            <w:r w:rsidRPr="00F015DD">
              <w:rPr>
                <w:rFonts w:asciiTheme="majorHAnsi" w:hAnsiTheme="majorHAnsi" w:cs="Arial"/>
                <w:lang w:val="fr-FR"/>
              </w:rPr>
              <w:t>“…</w:t>
            </w:r>
            <w:r w:rsidR="0076516B" w:rsidRPr="00F015DD">
              <w:rPr>
                <w:rFonts w:asciiTheme="majorHAnsi" w:hAnsiTheme="majorHAnsi" w:cs="Arial"/>
                <w:lang w:val="fr-FR"/>
              </w:rPr>
              <w:t xml:space="preserve">Les tribunaux ne mènent pas la lutte contre le terrorisme et ne décident pas non plus des mesures à adopter. Le degré de menace et le niveau auquel des mesures </w:t>
            </w:r>
            <w:proofErr w:type="spellStart"/>
            <w:r w:rsidR="0076516B" w:rsidRPr="00F015DD">
              <w:rPr>
                <w:rFonts w:asciiTheme="majorHAnsi" w:hAnsiTheme="majorHAnsi" w:cs="Arial"/>
                <w:lang w:val="fr-FR"/>
              </w:rPr>
              <w:t>exceptionelles</w:t>
            </w:r>
            <w:proofErr w:type="spellEnd"/>
            <w:r w:rsidR="0076516B" w:rsidRPr="00F015DD">
              <w:rPr>
                <w:rFonts w:asciiTheme="majorHAnsi" w:hAnsiTheme="majorHAnsi" w:cs="Arial"/>
                <w:lang w:val="fr-FR"/>
              </w:rPr>
              <w:t xml:space="preserve"> s'avèrent nécessaires </w:t>
            </w:r>
            <w:proofErr w:type="gramStart"/>
            <w:r w:rsidR="0076516B" w:rsidRPr="00F015DD">
              <w:rPr>
                <w:rFonts w:asciiTheme="majorHAnsi" w:hAnsiTheme="majorHAnsi" w:cs="Arial"/>
                <w:lang w:val="fr-FR"/>
              </w:rPr>
              <w:t>doivent</w:t>
            </w:r>
            <w:proofErr w:type="gramEnd"/>
            <w:r w:rsidR="0076516B" w:rsidRPr="00F015DD">
              <w:rPr>
                <w:rFonts w:asciiTheme="majorHAnsi" w:hAnsiTheme="majorHAnsi" w:cs="Arial"/>
                <w:lang w:val="fr-FR"/>
              </w:rPr>
              <w:t xml:space="preserve"> être décidés par le pouvoir exécutif ou par le législateur. Les questio</w:t>
            </w:r>
            <w:r w:rsidR="00C46469" w:rsidRPr="00F015DD">
              <w:rPr>
                <w:rFonts w:asciiTheme="majorHAnsi" w:hAnsiTheme="majorHAnsi" w:cs="Arial"/>
                <w:lang w:val="fr-FR"/>
              </w:rPr>
              <w:t>ns que les tribunaux du Royaume-</w:t>
            </w:r>
            <w:r w:rsidR="0076516B" w:rsidRPr="00F015DD">
              <w:rPr>
                <w:rFonts w:asciiTheme="majorHAnsi" w:hAnsiTheme="majorHAnsi" w:cs="Arial"/>
                <w:lang w:val="fr-FR"/>
              </w:rPr>
              <w:t xml:space="preserve">Uni </w:t>
            </w:r>
            <w:r w:rsidR="00C46469" w:rsidRPr="00F015DD">
              <w:rPr>
                <w:rFonts w:asciiTheme="majorHAnsi" w:hAnsiTheme="majorHAnsi" w:cs="Arial"/>
                <w:lang w:val="fr-FR"/>
              </w:rPr>
              <w:t>doivent poser</w:t>
            </w:r>
            <w:r w:rsidR="0076516B" w:rsidRPr="00F015DD">
              <w:rPr>
                <w:rFonts w:asciiTheme="majorHAnsi" w:hAnsiTheme="majorHAnsi" w:cs="Arial"/>
                <w:lang w:val="fr-FR"/>
              </w:rPr>
              <w:t xml:space="preserve"> sont les suivantes: </w:t>
            </w:r>
            <w:r w:rsidR="0076516B" w:rsidRPr="00F015DD">
              <w:rPr>
                <w:rFonts w:asciiTheme="majorHAnsi" w:hAnsiTheme="majorHAnsi" w:cs="Arial"/>
                <w:b/>
                <w:lang w:val="fr-FR"/>
              </w:rPr>
              <w:t>d'abord</w:t>
            </w:r>
            <w:r w:rsidRPr="00F015DD">
              <w:rPr>
                <w:rFonts w:asciiTheme="majorHAnsi" w:hAnsiTheme="majorHAnsi" w:cs="Arial"/>
                <w:b/>
                <w:lang w:val="fr-FR"/>
              </w:rPr>
              <w:t xml:space="preserve">, </w:t>
            </w:r>
            <w:r w:rsidR="0076516B" w:rsidRPr="00F015DD">
              <w:rPr>
                <w:rFonts w:asciiTheme="majorHAnsi" w:hAnsiTheme="majorHAnsi" w:cs="Arial"/>
                <w:b/>
                <w:lang w:val="fr-FR"/>
              </w:rPr>
              <w:t>ces mesures violent-elles l'un des droits humains fondame</w:t>
            </w:r>
            <w:r w:rsidR="00851E0C" w:rsidRPr="00F015DD">
              <w:rPr>
                <w:rFonts w:asciiTheme="majorHAnsi" w:hAnsiTheme="majorHAnsi" w:cs="Arial"/>
                <w:b/>
                <w:lang w:val="fr-FR"/>
              </w:rPr>
              <w:t xml:space="preserve">ntaux d'une quelconque personne; </w:t>
            </w:r>
            <w:r w:rsidR="00C46469" w:rsidRPr="00F015DD">
              <w:rPr>
                <w:rFonts w:asciiTheme="majorHAnsi" w:hAnsiTheme="majorHAnsi" w:cs="Arial"/>
                <w:b/>
                <w:lang w:val="fr-FR"/>
              </w:rPr>
              <w:t>ensuite et en cas de réponse positive</w:t>
            </w:r>
            <w:r w:rsidR="0076516B" w:rsidRPr="00F015DD">
              <w:rPr>
                <w:rFonts w:asciiTheme="majorHAnsi" w:hAnsiTheme="majorHAnsi" w:cs="Arial"/>
                <w:b/>
                <w:lang w:val="fr-FR"/>
              </w:rPr>
              <w:t>, la violation est-elle justifiée; enfin, la violation constitue-t-elle le minimum nécessaire pour protéger notre démocratie</w:t>
            </w:r>
            <w:r w:rsidRPr="00F015DD">
              <w:rPr>
                <w:rFonts w:asciiTheme="majorHAnsi" w:hAnsiTheme="majorHAnsi" w:cs="Arial"/>
                <w:lang w:val="fr-FR"/>
              </w:rPr>
              <w:t>?</w:t>
            </w:r>
            <w:r w:rsidR="00F43897" w:rsidRPr="00F015DD">
              <w:rPr>
                <w:rStyle w:val="FootnoteReference"/>
                <w:rFonts w:asciiTheme="majorHAnsi" w:hAnsiTheme="majorHAnsi" w:cs="Arial"/>
                <w:lang w:val="fr-FR"/>
              </w:rPr>
              <w:footnoteReference w:id="4"/>
            </w:r>
            <w:r w:rsidRPr="00F015DD">
              <w:rPr>
                <w:rFonts w:asciiTheme="majorHAnsi" w:hAnsiTheme="majorHAnsi" w:cs="Arial"/>
                <w:lang w:val="fr-FR"/>
              </w:rPr>
              <w:t>”</w:t>
            </w:r>
          </w:p>
          <w:p w14:paraId="7270AC54" w14:textId="77777777" w:rsidR="00F64EBC" w:rsidRPr="00F015DD" w:rsidRDefault="00F64EBC" w:rsidP="00F64EBC">
            <w:pPr>
              <w:widowControl w:val="0"/>
              <w:autoSpaceDE w:val="0"/>
              <w:autoSpaceDN w:val="0"/>
              <w:adjustRightInd w:val="0"/>
              <w:jc w:val="both"/>
              <w:rPr>
                <w:rFonts w:asciiTheme="majorHAnsi" w:hAnsiTheme="majorHAnsi" w:cs="Verdana"/>
                <w:color w:val="171717"/>
                <w:lang w:val="fr-FR"/>
              </w:rPr>
            </w:pPr>
          </w:p>
          <w:p w14:paraId="1DD1A718" w14:textId="0D9B07FE" w:rsidR="00F64EBC" w:rsidRPr="00F015DD" w:rsidRDefault="00F43897" w:rsidP="003D1897">
            <w:pPr>
              <w:widowControl w:val="0"/>
              <w:autoSpaceDE w:val="0"/>
              <w:autoSpaceDN w:val="0"/>
              <w:adjustRightInd w:val="0"/>
              <w:rPr>
                <w:rFonts w:asciiTheme="majorHAnsi" w:hAnsiTheme="majorHAnsi" w:cs="Arial"/>
                <w:lang w:val="fr-FR"/>
              </w:rPr>
            </w:pPr>
            <w:r w:rsidRPr="00F015DD">
              <w:rPr>
                <w:rFonts w:asciiTheme="majorHAnsi" w:hAnsiTheme="majorHAnsi" w:cs="Arial"/>
                <w:lang w:val="fr-FR"/>
              </w:rPr>
              <w:t>“</w:t>
            </w:r>
            <w:r w:rsidR="0076516B" w:rsidRPr="00F015DD">
              <w:rPr>
                <w:rFonts w:asciiTheme="majorHAnsi" w:hAnsiTheme="majorHAnsi" w:cs="Arial"/>
                <w:lang w:val="fr-FR"/>
              </w:rPr>
              <w:t xml:space="preserve">Conférer aux tribunaux le pouvoir de poser ces questions est essentiel pour donner effet aux valeurs démocratiques et pour assurer la compatibilité des mesures </w:t>
            </w:r>
            <w:r w:rsidR="00C46469" w:rsidRPr="00F015DD">
              <w:rPr>
                <w:rFonts w:asciiTheme="majorHAnsi" w:hAnsiTheme="majorHAnsi" w:cs="Arial"/>
                <w:lang w:val="fr-FR"/>
              </w:rPr>
              <w:t>antiterroristes</w:t>
            </w:r>
            <w:r w:rsidR="00D82E92" w:rsidRPr="00F015DD">
              <w:rPr>
                <w:rFonts w:asciiTheme="majorHAnsi" w:hAnsiTheme="majorHAnsi" w:cs="Arial"/>
                <w:lang w:val="fr-FR"/>
              </w:rPr>
              <w:t xml:space="preserve"> avec les droits de l'H</w:t>
            </w:r>
            <w:r w:rsidR="0076516B" w:rsidRPr="00F015DD">
              <w:rPr>
                <w:rFonts w:asciiTheme="majorHAnsi" w:hAnsiTheme="majorHAnsi" w:cs="Arial"/>
                <w:lang w:val="fr-FR"/>
              </w:rPr>
              <w:t>omme</w:t>
            </w:r>
            <w:r w:rsidRPr="00F015DD">
              <w:rPr>
                <w:rFonts w:asciiTheme="majorHAnsi" w:hAnsiTheme="majorHAnsi" w:cs="Arial"/>
                <w:lang w:val="fr-FR"/>
              </w:rPr>
              <w:t>”</w:t>
            </w:r>
            <w:r w:rsidRPr="00F015DD">
              <w:rPr>
                <w:rStyle w:val="FootnoteReference"/>
                <w:rFonts w:asciiTheme="majorHAnsi" w:hAnsiTheme="majorHAnsi" w:cs="Arial"/>
                <w:lang w:val="fr-FR"/>
              </w:rPr>
              <w:footnoteReference w:id="5"/>
            </w:r>
            <w:r w:rsidR="00F64EBC" w:rsidRPr="00F015DD">
              <w:rPr>
                <w:rFonts w:asciiTheme="majorHAnsi" w:hAnsiTheme="majorHAnsi" w:cs="Arial"/>
                <w:lang w:val="fr-FR"/>
              </w:rPr>
              <w:t>.</w:t>
            </w:r>
          </w:p>
        </w:tc>
      </w:tr>
    </w:tbl>
    <w:p w14:paraId="25D5EED9" w14:textId="77777777" w:rsidR="00F64EBC" w:rsidRPr="00F015DD" w:rsidRDefault="00F64EBC" w:rsidP="00F64EBC">
      <w:pPr>
        <w:widowControl w:val="0"/>
        <w:autoSpaceDE w:val="0"/>
        <w:autoSpaceDN w:val="0"/>
        <w:adjustRightInd w:val="0"/>
        <w:jc w:val="both"/>
        <w:rPr>
          <w:rFonts w:asciiTheme="majorHAnsi" w:hAnsiTheme="majorHAnsi" w:cs="Verdana"/>
          <w:color w:val="171717"/>
          <w:lang w:val="fr-FR"/>
        </w:rPr>
      </w:pPr>
    </w:p>
    <w:p w14:paraId="1B38BA86" w14:textId="18622ED2" w:rsidR="00B17125" w:rsidRPr="00F015DD" w:rsidRDefault="00613EF4" w:rsidP="00E5569C">
      <w:pPr>
        <w:widowControl w:val="0"/>
        <w:autoSpaceDE w:val="0"/>
        <w:autoSpaceDN w:val="0"/>
        <w:adjustRightInd w:val="0"/>
        <w:jc w:val="both"/>
        <w:rPr>
          <w:rFonts w:asciiTheme="majorHAnsi" w:hAnsiTheme="majorHAnsi" w:cs="Verdana"/>
          <w:color w:val="171717"/>
          <w:lang w:val="fr-FR"/>
        </w:rPr>
      </w:pPr>
      <w:r w:rsidRPr="00F015DD">
        <w:rPr>
          <w:rFonts w:asciiTheme="majorHAnsi" w:hAnsiTheme="majorHAnsi" w:cs="Verdana"/>
          <w:color w:val="171717"/>
          <w:lang w:val="fr-FR"/>
        </w:rPr>
        <w:t xml:space="preserve">Comme le souligne ce manuel, les restrictions imposées à la liberté d'expression au motif de </w:t>
      </w:r>
      <w:r w:rsidR="00C46469" w:rsidRPr="00F015DD">
        <w:rPr>
          <w:rFonts w:asciiTheme="majorHAnsi" w:hAnsiTheme="majorHAnsi" w:cs="Verdana"/>
          <w:color w:val="171717"/>
          <w:lang w:val="fr-FR"/>
        </w:rPr>
        <w:t>préserver</w:t>
      </w:r>
      <w:r w:rsidRPr="00F015DD">
        <w:rPr>
          <w:rFonts w:asciiTheme="majorHAnsi" w:hAnsiTheme="majorHAnsi" w:cs="Verdana"/>
          <w:color w:val="171717"/>
          <w:lang w:val="fr-FR"/>
        </w:rPr>
        <w:t xml:space="preserve"> la sécurité nati</w:t>
      </w:r>
      <w:r w:rsidR="003D1897" w:rsidRPr="00F015DD">
        <w:rPr>
          <w:rFonts w:asciiTheme="majorHAnsi" w:hAnsiTheme="majorHAnsi" w:cs="Verdana"/>
          <w:color w:val="171717"/>
          <w:lang w:val="fr-FR"/>
        </w:rPr>
        <w:t>onale doivent satisfaire un cert</w:t>
      </w:r>
      <w:r w:rsidRPr="00F015DD">
        <w:rPr>
          <w:rFonts w:asciiTheme="majorHAnsi" w:hAnsiTheme="majorHAnsi" w:cs="Verdana"/>
          <w:color w:val="171717"/>
          <w:lang w:val="fr-FR"/>
        </w:rPr>
        <w:t xml:space="preserve">ain nombre de critères pour se conformer aux normes et aux bonnes pratiques internationales et pour également être légitimes. </w:t>
      </w:r>
    </w:p>
    <w:p w14:paraId="6A58694A" w14:textId="77777777" w:rsidR="00490F17" w:rsidRPr="00F015DD" w:rsidRDefault="00490F17">
      <w:pPr>
        <w:rPr>
          <w:rFonts w:asciiTheme="majorHAnsi" w:hAnsiTheme="majorHAnsi"/>
          <w:lang w:val="fr-FR"/>
        </w:rPr>
      </w:pPr>
    </w:p>
    <w:p w14:paraId="5CCC2814" w14:textId="77777777" w:rsidR="00205AC7" w:rsidRPr="00F015DD" w:rsidRDefault="0044104C" w:rsidP="007B0992">
      <w:pPr>
        <w:spacing w:line="276" w:lineRule="auto"/>
        <w:jc w:val="both"/>
        <w:rPr>
          <w:rFonts w:asciiTheme="majorHAnsi" w:hAnsiTheme="majorHAnsi"/>
          <w:b/>
          <w:sz w:val="28"/>
          <w:szCs w:val="28"/>
          <w:lang w:val="fr-FR"/>
        </w:rPr>
      </w:pPr>
      <w:r w:rsidRPr="00F015DD">
        <w:rPr>
          <w:rFonts w:asciiTheme="majorHAnsi" w:hAnsiTheme="majorHAnsi"/>
          <w:b/>
          <w:sz w:val="28"/>
          <w:szCs w:val="28"/>
          <w:lang w:val="fr-FR"/>
        </w:rPr>
        <w:t xml:space="preserve">I - </w:t>
      </w:r>
      <w:r w:rsidR="00613EF4" w:rsidRPr="00F015DD">
        <w:rPr>
          <w:rFonts w:asciiTheme="majorHAnsi" w:hAnsiTheme="majorHAnsi"/>
          <w:b/>
          <w:sz w:val="28"/>
          <w:szCs w:val="28"/>
          <w:lang w:val="fr-FR"/>
        </w:rPr>
        <w:t>Normes internationales et i</w:t>
      </w:r>
      <w:r w:rsidR="00205AC7" w:rsidRPr="00F015DD">
        <w:rPr>
          <w:rFonts w:asciiTheme="majorHAnsi" w:hAnsiTheme="majorHAnsi"/>
          <w:b/>
          <w:sz w:val="28"/>
          <w:szCs w:val="28"/>
          <w:lang w:val="fr-FR"/>
        </w:rPr>
        <w:t>nterpr</w:t>
      </w:r>
      <w:r w:rsidR="00613EF4" w:rsidRPr="00F015DD">
        <w:rPr>
          <w:rFonts w:asciiTheme="majorHAnsi" w:hAnsiTheme="majorHAnsi"/>
          <w:b/>
          <w:sz w:val="28"/>
          <w:szCs w:val="28"/>
          <w:lang w:val="fr-FR"/>
        </w:rPr>
        <w:t>é</w:t>
      </w:r>
      <w:r w:rsidR="00205AC7" w:rsidRPr="00F015DD">
        <w:rPr>
          <w:rFonts w:asciiTheme="majorHAnsi" w:hAnsiTheme="majorHAnsi"/>
          <w:b/>
          <w:sz w:val="28"/>
          <w:szCs w:val="28"/>
          <w:lang w:val="fr-FR"/>
        </w:rPr>
        <w:t>tation</w:t>
      </w:r>
    </w:p>
    <w:p w14:paraId="1F2A6C32" w14:textId="77777777" w:rsidR="006070AF" w:rsidRPr="00F015DD" w:rsidRDefault="006070AF" w:rsidP="006070AF">
      <w:pPr>
        <w:widowControl w:val="0"/>
        <w:autoSpaceDE w:val="0"/>
        <w:autoSpaceDN w:val="0"/>
        <w:adjustRightInd w:val="0"/>
        <w:jc w:val="both"/>
        <w:rPr>
          <w:rFonts w:asciiTheme="majorHAnsi" w:hAnsiTheme="majorHAnsi" w:cs="Times"/>
          <w:lang w:val="fr-FR"/>
        </w:rPr>
      </w:pPr>
    </w:p>
    <w:p w14:paraId="39858757" w14:textId="77777777" w:rsidR="009C57C2" w:rsidRPr="00F015DD" w:rsidRDefault="00613EF4" w:rsidP="006070AF">
      <w:pPr>
        <w:widowControl w:val="0"/>
        <w:autoSpaceDE w:val="0"/>
        <w:autoSpaceDN w:val="0"/>
        <w:adjustRightInd w:val="0"/>
        <w:jc w:val="both"/>
        <w:rPr>
          <w:rFonts w:asciiTheme="majorHAnsi" w:hAnsiTheme="majorHAnsi" w:cs="Times"/>
          <w:lang w:val="fr-FR"/>
        </w:rPr>
      </w:pPr>
      <w:r w:rsidRPr="00F015DD">
        <w:rPr>
          <w:rFonts w:asciiTheme="majorHAnsi" w:hAnsiTheme="majorHAnsi" w:cs="Times"/>
          <w:lang w:val="fr-FR"/>
        </w:rPr>
        <w:t>Le droit à la liberté d'expression n'est pas un droit absolu. Il peut être restreint d</w:t>
      </w:r>
      <w:r w:rsidR="00C46469" w:rsidRPr="00F015DD">
        <w:rPr>
          <w:rFonts w:asciiTheme="majorHAnsi" w:hAnsiTheme="majorHAnsi" w:cs="Times"/>
          <w:lang w:val="fr-FR"/>
        </w:rPr>
        <w:t>a</w:t>
      </w:r>
      <w:r w:rsidRPr="00F015DD">
        <w:rPr>
          <w:rFonts w:asciiTheme="majorHAnsi" w:hAnsiTheme="majorHAnsi" w:cs="Times"/>
          <w:lang w:val="fr-FR"/>
        </w:rPr>
        <w:t>ns le contexte de l'état d'urgence aux conditions définies dans l'article 4 d</w:t>
      </w:r>
      <w:r w:rsidR="00B237CF" w:rsidRPr="00F015DD">
        <w:rPr>
          <w:rFonts w:asciiTheme="majorHAnsi" w:hAnsiTheme="majorHAnsi" w:cs="Times"/>
          <w:lang w:val="fr-FR"/>
        </w:rPr>
        <w:t>u</w:t>
      </w:r>
      <w:r w:rsidRPr="00F015DD">
        <w:rPr>
          <w:rFonts w:asciiTheme="majorHAnsi" w:hAnsiTheme="majorHAnsi" w:cs="Times"/>
          <w:lang w:val="fr-FR"/>
        </w:rPr>
        <w:t xml:space="preserve"> </w:t>
      </w:r>
      <w:r w:rsidRPr="00F015DD">
        <w:rPr>
          <w:rFonts w:asciiTheme="majorHAnsi" w:hAnsiTheme="majorHAnsi" w:cs="Verdana"/>
          <w:bCs/>
          <w:color w:val="242424"/>
          <w:lang w:val="fr-FR"/>
        </w:rPr>
        <w:t>Pacte international relatif aux droits civils et politiques</w:t>
      </w:r>
      <w:r w:rsidRPr="00F015DD">
        <w:rPr>
          <w:rFonts w:asciiTheme="majorHAnsi" w:hAnsiTheme="majorHAnsi" w:cs="Times"/>
          <w:lang w:val="fr-FR"/>
        </w:rPr>
        <w:t xml:space="preserve"> et les Principes de Syracuse. </w:t>
      </w:r>
    </w:p>
    <w:p w14:paraId="52A5F1E4" w14:textId="77777777" w:rsidR="009C57C2" w:rsidRPr="00F015DD" w:rsidRDefault="009C57C2" w:rsidP="006070AF">
      <w:pPr>
        <w:widowControl w:val="0"/>
        <w:autoSpaceDE w:val="0"/>
        <w:autoSpaceDN w:val="0"/>
        <w:adjustRightInd w:val="0"/>
        <w:jc w:val="both"/>
        <w:rPr>
          <w:rFonts w:asciiTheme="majorHAnsi" w:hAnsiTheme="majorHAnsi" w:cs="Times"/>
          <w:lang w:val="fr-FR"/>
        </w:rPr>
      </w:pPr>
    </w:p>
    <w:p w14:paraId="433D9723" w14:textId="77777777" w:rsidR="00B17125" w:rsidRPr="00F015DD" w:rsidRDefault="00613EF4" w:rsidP="006070AF">
      <w:pPr>
        <w:widowControl w:val="0"/>
        <w:autoSpaceDE w:val="0"/>
        <w:autoSpaceDN w:val="0"/>
        <w:adjustRightInd w:val="0"/>
        <w:jc w:val="both"/>
        <w:rPr>
          <w:rFonts w:asciiTheme="majorHAnsi" w:hAnsiTheme="majorHAnsi" w:cs="Times"/>
          <w:lang w:val="fr-FR"/>
        </w:rPr>
      </w:pPr>
      <w:r w:rsidRPr="00F015DD">
        <w:rPr>
          <w:rFonts w:asciiTheme="majorHAnsi" w:hAnsiTheme="majorHAnsi" w:cs="Times"/>
          <w:lang w:val="fr-FR"/>
        </w:rPr>
        <w:t xml:space="preserve">En dehors de telles situations extraordinaires, le droit à la liberté d'expression peut être restreint dans des conditions très étroites définies dans les articles 19 et 20 du </w:t>
      </w:r>
      <w:r w:rsidRPr="00F015DD">
        <w:rPr>
          <w:rFonts w:asciiTheme="majorHAnsi" w:hAnsiTheme="majorHAnsi" w:cs="Verdana"/>
          <w:bCs/>
          <w:color w:val="242424"/>
          <w:lang w:val="fr-FR"/>
        </w:rPr>
        <w:t>Pacte international relatif aux droits civils et politiques</w:t>
      </w:r>
      <w:r w:rsidR="00B17125" w:rsidRPr="00F015DD">
        <w:rPr>
          <w:rFonts w:asciiTheme="majorHAnsi" w:hAnsiTheme="majorHAnsi" w:cs="Times"/>
          <w:lang w:val="fr-FR"/>
        </w:rPr>
        <w:t xml:space="preserve">. </w:t>
      </w:r>
    </w:p>
    <w:p w14:paraId="2CDBF55B" w14:textId="77777777" w:rsidR="00B17125" w:rsidRPr="00F015DD" w:rsidRDefault="00B17125" w:rsidP="006070AF">
      <w:pPr>
        <w:widowControl w:val="0"/>
        <w:autoSpaceDE w:val="0"/>
        <w:autoSpaceDN w:val="0"/>
        <w:adjustRightInd w:val="0"/>
        <w:jc w:val="both"/>
        <w:rPr>
          <w:rFonts w:asciiTheme="majorHAnsi" w:hAnsiTheme="majorHAnsi" w:cs="Times"/>
          <w:b/>
          <w:lang w:val="fr-FR"/>
        </w:rPr>
      </w:pPr>
    </w:p>
    <w:p w14:paraId="0D605D28" w14:textId="1A88275F" w:rsidR="006070AF" w:rsidRPr="00F015DD" w:rsidRDefault="00842C0D" w:rsidP="006070AF">
      <w:pPr>
        <w:widowControl w:val="0"/>
        <w:autoSpaceDE w:val="0"/>
        <w:autoSpaceDN w:val="0"/>
        <w:adjustRightInd w:val="0"/>
        <w:jc w:val="both"/>
        <w:rPr>
          <w:rFonts w:asciiTheme="majorHAnsi" w:hAnsiTheme="majorHAnsi" w:cs="Times"/>
          <w:b/>
          <w:u w:val="single"/>
          <w:lang w:val="fr-FR"/>
        </w:rPr>
      </w:pPr>
      <w:r w:rsidRPr="00F015DD">
        <w:rPr>
          <w:rFonts w:asciiTheme="majorHAnsi" w:hAnsiTheme="majorHAnsi" w:cs="Times"/>
          <w:b/>
          <w:u w:val="single"/>
          <w:lang w:val="fr-FR"/>
        </w:rPr>
        <w:t xml:space="preserve">I.1. </w:t>
      </w:r>
      <w:r w:rsidR="00613EF4" w:rsidRPr="00F015DD">
        <w:rPr>
          <w:rFonts w:asciiTheme="majorHAnsi" w:hAnsiTheme="majorHAnsi" w:cs="Times"/>
          <w:b/>
          <w:u w:val="single"/>
          <w:lang w:val="fr-FR"/>
        </w:rPr>
        <w:t xml:space="preserve">Etat d'urgence et restrictions à la liberté d'expression </w:t>
      </w:r>
      <w:r w:rsidR="00D60546" w:rsidRPr="00F015DD">
        <w:rPr>
          <w:rFonts w:asciiTheme="majorHAnsi" w:hAnsiTheme="majorHAnsi" w:cs="Times"/>
          <w:b/>
          <w:u w:val="single"/>
          <w:lang w:val="fr-FR"/>
        </w:rPr>
        <w:t>(</w:t>
      </w:r>
      <w:r w:rsidR="006070AF" w:rsidRPr="00F015DD">
        <w:rPr>
          <w:rFonts w:asciiTheme="majorHAnsi" w:hAnsiTheme="majorHAnsi" w:cs="Times"/>
          <w:b/>
          <w:u w:val="single"/>
          <w:lang w:val="fr-FR"/>
        </w:rPr>
        <w:t>ICCPR</w:t>
      </w:r>
      <w:r w:rsidR="00B17125" w:rsidRPr="00F015DD">
        <w:rPr>
          <w:rFonts w:asciiTheme="majorHAnsi" w:hAnsiTheme="majorHAnsi" w:cs="Times"/>
          <w:b/>
          <w:u w:val="single"/>
          <w:lang w:val="fr-FR"/>
        </w:rPr>
        <w:t xml:space="preserve"> – Article 4</w:t>
      </w:r>
      <w:r w:rsidR="00D60546" w:rsidRPr="00F015DD">
        <w:rPr>
          <w:rFonts w:asciiTheme="majorHAnsi" w:hAnsiTheme="majorHAnsi" w:cs="Times"/>
          <w:b/>
          <w:u w:val="single"/>
          <w:lang w:val="fr-FR"/>
        </w:rPr>
        <w:t>)</w:t>
      </w:r>
      <w:r w:rsidR="003D1897" w:rsidRPr="00F015DD">
        <w:rPr>
          <w:rStyle w:val="FootnoteReference"/>
          <w:rFonts w:asciiTheme="majorHAnsi" w:hAnsiTheme="majorHAnsi" w:cs="Times"/>
          <w:b/>
          <w:u w:val="single"/>
          <w:lang w:val="fr-FR"/>
        </w:rPr>
        <w:footnoteReference w:id="6"/>
      </w:r>
    </w:p>
    <w:p w14:paraId="44E28ABE" w14:textId="77777777" w:rsidR="006070AF" w:rsidRPr="00F015DD" w:rsidRDefault="006070AF" w:rsidP="006070AF">
      <w:pPr>
        <w:widowControl w:val="0"/>
        <w:autoSpaceDE w:val="0"/>
        <w:autoSpaceDN w:val="0"/>
        <w:adjustRightInd w:val="0"/>
        <w:jc w:val="both"/>
        <w:rPr>
          <w:rFonts w:asciiTheme="majorHAnsi" w:hAnsiTheme="majorHAnsi" w:cs="Times"/>
          <w:lang w:val="fr-FR"/>
        </w:rPr>
      </w:pPr>
    </w:p>
    <w:p w14:paraId="41F1723D" w14:textId="7BD7AB8B" w:rsidR="00CA2083" w:rsidRPr="00F015DD" w:rsidRDefault="00613EF4" w:rsidP="00CA2083">
      <w:pPr>
        <w:widowControl w:val="0"/>
        <w:autoSpaceDE w:val="0"/>
        <w:autoSpaceDN w:val="0"/>
        <w:adjustRightInd w:val="0"/>
        <w:jc w:val="both"/>
        <w:rPr>
          <w:rFonts w:asciiTheme="majorHAnsi" w:hAnsiTheme="majorHAnsi" w:cs="Verdana"/>
          <w:color w:val="171717"/>
          <w:lang w:val="fr-FR"/>
        </w:rPr>
      </w:pPr>
      <w:r w:rsidRPr="00F015DD">
        <w:rPr>
          <w:rFonts w:asciiTheme="majorHAnsi" w:hAnsiTheme="majorHAnsi" w:cs="Arial"/>
          <w:lang w:val="fr-FR"/>
        </w:rPr>
        <w:t>Le droit</w:t>
      </w:r>
      <w:r w:rsidR="00D82E92" w:rsidRPr="00F015DD">
        <w:rPr>
          <w:rFonts w:asciiTheme="majorHAnsi" w:hAnsiTheme="majorHAnsi" w:cs="Arial"/>
          <w:lang w:val="fr-FR"/>
        </w:rPr>
        <w:t xml:space="preserve"> international des droits </w:t>
      </w:r>
      <w:r w:rsidR="003D1897" w:rsidRPr="00F015DD">
        <w:rPr>
          <w:rFonts w:asciiTheme="majorHAnsi" w:hAnsiTheme="majorHAnsi" w:cs="Arial"/>
          <w:lang w:val="fr-FR"/>
        </w:rPr>
        <w:t>humains</w:t>
      </w:r>
      <w:r w:rsidRPr="00F015DD">
        <w:rPr>
          <w:rFonts w:asciiTheme="majorHAnsi" w:hAnsiTheme="majorHAnsi" w:cs="Arial"/>
          <w:lang w:val="fr-FR"/>
        </w:rPr>
        <w:t xml:space="preserve"> prévoit la nécessité, quelques fois, de limiter les droits des individus pour protéger la sécurité internationale ou pour faire face à des situations de danger public. Toutefois, un tel danger ne peut être </w:t>
      </w:r>
      <w:r w:rsidR="00C46469" w:rsidRPr="00F015DD">
        <w:rPr>
          <w:rFonts w:asciiTheme="majorHAnsi" w:hAnsiTheme="majorHAnsi" w:cs="Arial"/>
          <w:lang w:val="fr-FR"/>
        </w:rPr>
        <w:t xml:space="preserve">invoqué </w:t>
      </w:r>
      <w:r w:rsidRPr="00F015DD">
        <w:rPr>
          <w:rFonts w:asciiTheme="majorHAnsi" w:hAnsiTheme="majorHAnsi" w:cs="Arial"/>
          <w:lang w:val="fr-FR"/>
        </w:rPr>
        <w:t>pour suspendre certains droits qui ne peuvent, en aucun cas, être suspendus</w:t>
      </w:r>
      <w:r w:rsidR="002321CE" w:rsidRPr="00F015DD">
        <w:rPr>
          <w:rFonts w:asciiTheme="majorHAnsi" w:hAnsiTheme="majorHAnsi" w:cs="Arial"/>
          <w:lang w:val="fr-FR"/>
        </w:rPr>
        <w:t>. </w:t>
      </w:r>
      <w:r w:rsidR="00CA2083" w:rsidRPr="00F015DD">
        <w:rPr>
          <w:rFonts w:asciiTheme="majorHAnsi" w:hAnsiTheme="majorHAnsi" w:cs="Arial"/>
          <w:lang w:val="fr-FR"/>
        </w:rPr>
        <w:t xml:space="preserve"> </w:t>
      </w:r>
      <w:r w:rsidR="00C46469" w:rsidRPr="00F015DD">
        <w:rPr>
          <w:rFonts w:asciiTheme="majorHAnsi" w:hAnsiTheme="majorHAnsi" w:cs="Arial"/>
          <w:lang w:val="fr-FR"/>
        </w:rPr>
        <w:t>Ces droits</w:t>
      </w:r>
      <w:r w:rsidRPr="00F015DD">
        <w:rPr>
          <w:rFonts w:asciiTheme="majorHAnsi" w:hAnsiTheme="majorHAnsi" w:cs="Arial"/>
          <w:lang w:val="fr-FR"/>
        </w:rPr>
        <w:t xml:space="preserve"> incluent la liberté de penser, le droit à la vie et le droit de ne pas être soumis à la torture ou à un traitement cruel, inhumain et dégradant</w:t>
      </w:r>
      <w:r w:rsidR="002321CE" w:rsidRPr="00F015DD">
        <w:rPr>
          <w:rFonts w:asciiTheme="majorHAnsi" w:hAnsiTheme="majorHAnsi" w:cs="Arial"/>
          <w:lang w:val="fr-FR"/>
        </w:rPr>
        <w:t>.</w:t>
      </w:r>
    </w:p>
    <w:p w14:paraId="66B8787B" w14:textId="77777777" w:rsidR="00CA2083" w:rsidRPr="00F015DD" w:rsidRDefault="00CA2083" w:rsidP="00CA2083">
      <w:pPr>
        <w:widowControl w:val="0"/>
        <w:autoSpaceDE w:val="0"/>
        <w:autoSpaceDN w:val="0"/>
        <w:adjustRightInd w:val="0"/>
        <w:jc w:val="both"/>
        <w:rPr>
          <w:rFonts w:asciiTheme="majorHAnsi" w:hAnsiTheme="majorHAnsi" w:cs="Verdana"/>
          <w:color w:val="171717"/>
          <w:lang w:val="fr-FR"/>
        </w:rPr>
      </w:pPr>
    </w:p>
    <w:p w14:paraId="4DF2FD38" w14:textId="77777777" w:rsidR="006070AF" w:rsidRPr="00F015DD" w:rsidRDefault="00613EF4" w:rsidP="006070AF">
      <w:pPr>
        <w:widowControl w:val="0"/>
        <w:autoSpaceDE w:val="0"/>
        <w:autoSpaceDN w:val="0"/>
        <w:adjustRightInd w:val="0"/>
        <w:jc w:val="both"/>
        <w:rPr>
          <w:rFonts w:asciiTheme="majorHAnsi" w:hAnsiTheme="majorHAnsi" w:cs="Times"/>
          <w:position w:val="13"/>
          <w:lang w:val="fr-FR"/>
        </w:rPr>
      </w:pPr>
      <w:r w:rsidRPr="00F015DD">
        <w:rPr>
          <w:rFonts w:asciiTheme="majorHAnsi" w:hAnsiTheme="majorHAnsi" w:cs="Times"/>
          <w:lang w:val="fr-FR"/>
        </w:rPr>
        <w:t>Selon l'article 4</w:t>
      </w:r>
      <w:r w:rsidR="006070AF" w:rsidRPr="00F015DD">
        <w:rPr>
          <w:rFonts w:asciiTheme="majorHAnsi" w:hAnsiTheme="majorHAnsi" w:cs="Times"/>
          <w:lang w:val="fr-FR"/>
        </w:rPr>
        <w:t xml:space="preserve"> </w:t>
      </w:r>
      <w:r w:rsidRPr="00F015DD">
        <w:rPr>
          <w:rFonts w:asciiTheme="majorHAnsi" w:hAnsiTheme="majorHAnsi" w:cs="Times"/>
          <w:lang w:val="fr-FR"/>
        </w:rPr>
        <w:t>de l'</w:t>
      </w:r>
      <w:r w:rsidR="006070AF" w:rsidRPr="00F015DD">
        <w:rPr>
          <w:rFonts w:asciiTheme="majorHAnsi" w:hAnsiTheme="majorHAnsi" w:cs="Times"/>
          <w:lang w:val="fr-FR"/>
        </w:rPr>
        <w:t xml:space="preserve">ICCPR, </w:t>
      </w:r>
      <w:r w:rsidRPr="00F015DD">
        <w:rPr>
          <w:rFonts w:asciiTheme="majorHAnsi" w:hAnsiTheme="majorHAnsi" w:cs="Times"/>
          <w:lang w:val="fr-FR"/>
        </w:rPr>
        <w:t>dans le cas où</w:t>
      </w:r>
      <w:r w:rsidR="006070AF" w:rsidRPr="00F015DD">
        <w:rPr>
          <w:rFonts w:asciiTheme="majorHAnsi" w:hAnsiTheme="majorHAnsi" w:cs="Times"/>
          <w:lang w:val="fr-FR"/>
        </w:rPr>
        <w:t xml:space="preserve"> “</w:t>
      </w:r>
      <w:r w:rsidRPr="00F015DD">
        <w:rPr>
          <w:rFonts w:asciiTheme="majorHAnsi" w:hAnsiTheme="majorHAnsi" w:cs="Verdana"/>
          <w:lang w:val="fr-FR"/>
        </w:rPr>
        <w:t>un danger public exceptionnel menace l'existence de la nation</w:t>
      </w:r>
      <w:r w:rsidR="006070AF" w:rsidRPr="00F015DD">
        <w:rPr>
          <w:rFonts w:asciiTheme="majorHAnsi" w:hAnsiTheme="majorHAnsi" w:cs="Times"/>
          <w:lang w:val="fr-FR"/>
        </w:rPr>
        <w:t xml:space="preserve">”, </w:t>
      </w:r>
      <w:r w:rsidRPr="00F015DD">
        <w:rPr>
          <w:rFonts w:asciiTheme="majorHAnsi" w:hAnsiTheme="majorHAnsi" w:cs="Times"/>
          <w:lang w:val="fr-FR"/>
        </w:rPr>
        <w:t>les Etats</w:t>
      </w:r>
      <w:r w:rsidR="006070AF" w:rsidRPr="00F015DD">
        <w:rPr>
          <w:rFonts w:asciiTheme="majorHAnsi" w:hAnsiTheme="majorHAnsi" w:cs="Times"/>
          <w:lang w:val="fr-FR"/>
        </w:rPr>
        <w:t xml:space="preserve"> </w:t>
      </w:r>
      <w:r w:rsidR="00C46469" w:rsidRPr="00F015DD">
        <w:rPr>
          <w:rFonts w:asciiTheme="majorHAnsi" w:hAnsiTheme="majorHAnsi" w:cs="Times"/>
          <w:lang w:val="fr-FR"/>
        </w:rPr>
        <w:t>"</w:t>
      </w:r>
      <w:r w:rsidRPr="00F015DD">
        <w:rPr>
          <w:rFonts w:asciiTheme="majorHAnsi" w:hAnsiTheme="majorHAnsi" w:cs="Verdana"/>
          <w:lang w:val="fr-FR"/>
        </w:rPr>
        <w:t>peuvent prendre, dans la stricte mesure où la situation l'exige, des mesures dérogeant aux obligations prévues dans le présent Pacte</w:t>
      </w:r>
      <w:r w:rsidR="006070AF" w:rsidRPr="00F015DD">
        <w:rPr>
          <w:rFonts w:asciiTheme="majorHAnsi" w:hAnsiTheme="majorHAnsi" w:cs="Times"/>
          <w:lang w:val="fr-FR"/>
        </w:rPr>
        <w:t>”.</w:t>
      </w:r>
      <w:r w:rsidR="00D60546" w:rsidRPr="00F015DD">
        <w:rPr>
          <w:rFonts w:asciiTheme="majorHAnsi" w:hAnsiTheme="majorHAnsi" w:cs="Times"/>
          <w:lang w:val="fr-FR"/>
        </w:rPr>
        <w:t xml:space="preserve">  </w:t>
      </w:r>
      <w:r w:rsidRPr="00F015DD">
        <w:rPr>
          <w:rFonts w:asciiTheme="majorHAnsi" w:hAnsiTheme="majorHAnsi" w:cs="Times"/>
          <w:lang w:val="fr-FR"/>
        </w:rPr>
        <w:t xml:space="preserve">La liberté d'expression </w:t>
      </w:r>
      <w:r w:rsidR="00C46469" w:rsidRPr="00F015DD">
        <w:rPr>
          <w:rFonts w:asciiTheme="majorHAnsi" w:hAnsiTheme="majorHAnsi" w:cs="Times"/>
          <w:lang w:val="fr-FR"/>
        </w:rPr>
        <w:t>est</w:t>
      </w:r>
      <w:r w:rsidRPr="00F015DD">
        <w:rPr>
          <w:rFonts w:asciiTheme="majorHAnsi" w:hAnsiTheme="majorHAnsi" w:cs="Times"/>
          <w:lang w:val="fr-FR"/>
        </w:rPr>
        <w:t xml:space="preserve"> l'une des libertés pouvant être affectées de cette manière. </w:t>
      </w:r>
    </w:p>
    <w:p w14:paraId="7DE934D1" w14:textId="77777777" w:rsidR="006070AF" w:rsidRPr="00F015DD" w:rsidRDefault="006070AF" w:rsidP="006070AF">
      <w:pPr>
        <w:widowControl w:val="0"/>
        <w:autoSpaceDE w:val="0"/>
        <w:autoSpaceDN w:val="0"/>
        <w:adjustRightInd w:val="0"/>
        <w:jc w:val="both"/>
        <w:rPr>
          <w:rFonts w:asciiTheme="majorHAnsi" w:hAnsiTheme="majorHAnsi" w:cs="Times"/>
          <w:position w:val="13"/>
          <w:lang w:val="fr-FR"/>
        </w:rPr>
      </w:pPr>
    </w:p>
    <w:p w14:paraId="769C3035" w14:textId="77777777" w:rsidR="006070AF" w:rsidRPr="00F015DD" w:rsidRDefault="002A23B8" w:rsidP="006070AF">
      <w:pPr>
        <w:widowControl w:val="0"/>
        <w:autoSpaceDE w:val="0"/>
        <w:autoSpaceDN w:val="0"/>
        <w:adjustRightInd w:val="0"/>
        <w:jc w:val="both"/>
        <w:rPr>
          <w:rFonts w:asciiTheme="majorHAnsi" w:hAnsiTheme="majorHAnsi" w:cs="Times"/>
          <w:lang w:val="fr-FR"/>
        </w:rPr>
      </w:pPr>
      <w:r w:rsidRPr="00F015DD">
        <w:rPr>
          <w:rFonts w:asciiTheme="majorHAnsi" w:hAnsiTheme="majorHAnsi" w:cs="Times"/>
          <w:lang w:val="fr-FR"/>
        </w:rPr>
        <w:t>Afin</w:t>
      </w:r>
      <w:r w:rsidR="00613EF4" w:rsidRPr="00F015DD">
        <w:rPr>
          <w:rFonts w:asciiTheme="majorHAnsi" w:hAnsiTheme="majorHAnsi" w:cs="Times"/>
          <w:lang w:val="fr-FR"/>
        </w:rPr>
        <w:t xml:space="preserve"> d'invoquer l'article 4, deux conditions </w:t>
      </w:r>
      <w:r w:rsidRPr="00F015DD">
        <w:rPr>
          <w:rFonts w:asciiTheme="majorHAnsi" w:hAnsiTheme="majorHAnsi" w:cs="Times"/>
          <w:lang w:val="fr-FR"/>
        </w:rPr>
        <w:t>essentielles</w:t>
      </w:r>
      <w:r w:rsidR="00613EF4" w:rsidRPr="00F015DD">
        <w:rPr>
          <w:rFonts w:asciiTheme="majorHAnsi" w:hAnsiTheme="majorHAnsi" w:cs="Times"/>
          <w:lang w:val="fr-FR"/>
        </w:rPr>
        <w:t xml:space="preserve"> doivent être </w:t>
      </w:r>
      <w:r w:rsidR="00C46469" w:rsidRPr="00F015DD">
        <w:rPr>
          <w:rFonts w:asciiTheme="majorHAnsi" w:hAnsiTheme="majorHAnsi" w:cs="Times"/>
          <w:lang w:val="fr-FR"/>
        </w:rPr>
        <w:t>réunies :</w:t>
      </w:r>
      <w:r w:rsidR="00613EF4" w:rsidRPr="00F015DD">
        <w:rPr>
          <w:rFonts w:asciiTheme="majorHAnsi" w:hAnsiTheme="majorHAnsi" w:cs="Times"/>
          <w:lang w:val="fr-FR"/>
        </w:rPr>
        <w:t xml:space="preserve"> </w:t>
      </w:r>
    </w:p>
    <w:p w14:paraId="60F24BE0" w14:textId="77777777" w:rsidR="006070AF" w:rsidRPr="00F015DD" w:rsidRDefault="001C7A13" w:rsidP="00CA2083">
      <w:pPr>
        <w:widowControl w:val="0"/>
        <w:autoSpaceDE w:val="0"/>
        <w:autoSpaceDN w:val="0"/>
        <w:adjustRightInd w:val="0"/>
        <w:ind w:left="720"/>
        <w:jc w:val="both"/>
        <w:rPr>
          <w:rFonts w:asciiTheme="majorHAnsi" w:hAnsiTheme="majorHAnsi" w:cs="Times"/>
          <w:lang w:val="fr-FR"/>
        </w:rPr>
      </w:pPr>
      <w:r w:rsidRPr="00F015DD">
        <w:rPr>
          <w:rFonts w:asciiTheme="majorHAnsi" w:hAnsiTheme="majorHAnsi" w:cs="Times"/>
          <w:lang w:val="fr-FR"/>
        </w:rPr>
        <w:t xml:space="preserve">1. </w:t>
      </w:r>
      <w:r w:rsidR="00613EF4" w:rsidRPr="00F015DD">
        <w:rPr>
          <w:rFonts w:asciiTheme="majorHAnsi" w:hAnsiTheme="majorHAnsi" w:cs="Times"/>
          <w:lang w:val="fr-FR"/>
        </w:rPr>
        <w:t xml:space="preserve">La </w:t>
      </w:r>
      <w:r w:rsidR="006070AF" w:rsidRPr="00F015DD">
        <w:rPr>
          <w:rFonts w:asciiTheme="majorHAnsi" w:hAnsiTheme="majorHAnsi" w:cs="Times"/>
          <w:lang w:val="fr-FR"/>
        </w:rPr>
        <w:t xml:space="preserve">situation </w:t>
      </w:r>
      <w:r w:rsidR="00613EF4" w:rsidRPr="00F015DD">
        <w:rPr>
          <w:rFonts w:asciiTheme="majorHAnsi" w:hAnsiTheme="majorHAnsi" w:cs="Times"/>
          <w:lang w:val="fr-FR"/>
        </w:rPr>
        <w:t xml:space="preserve">doit réellement constituer </w:t>
      </w:r>
      <w:r w:rsidR="00613EF4" w:rsidRPr="00F015DD">
        <w:rPr>
          <w:rFonts w:asciiTheme="majorHAnsi" w:hAnsiTheme="majorHAnsi" w:cs="Times"/>
          <w:i/>
          <w:lang w:val="fr-FR"/>
        </w:rPr>
        <w:t>un danger public qui menace l'existence de la nation</w:t>
      </w:r>
      <w:r w:rsidR="006070AF" w:rsidRPr="00F015DD">
        <w:rPr>
          <w:rFonts w:asciiTheme="majorHAnsi" w:hAnsiTheme="majorHAnsi" w:cs="Times"/>
          <w:lang w:val="fr-FR"/>
        </w:rPr>
        <w:t xml:space="preserve">, </w:t>
      </w:r>
      <w:r w:rsidR="00613EF4" w:rsidRPr="00F015DD">
        <w:rPr>
          <w:rFonts w:asciiTheme="majorHAnsi" w:hAnsiTheme="majorHAnsi" w:cs="Times"/>
          <w:lang w:val="fr-FR"/>
        </w:rPr>
        <w:t>et</w:t>
      </w:r>
      <w:r w:rsidR="006070AF" w:rsidRPr="00F015DD">
        <w:rPr>
          <w:rFonts w:asciiTheme="majorHAnsi" w:hAnsiTheme="majorHAnsi" w:cs="Times"/>
          <w:lang w:val="fr-FR"/>
        </w:rPr>
        <w:t xml:space="preserve"> </w:t>
      </w:r>
    </w:p>
    <w:p w14:paraId="4A55BC7F" w14:textId="77777777" w:rsidR="006070AF" w:rsidRPr="00F015DD" w:rsidRDefault="001C7A13" w:rsidP="00CA2083">
      <w:pPr>
        <w:widowControl w:val="0"/>
        <w:autoSpaceDE w:val="0"/>
        <w:autoSpaceDN w:val="0"/>
        <w:adjustRightInd w:val="0"/>
        <w:ind w:left="720"/>
        <w:jc w:val="both"/>
        <w:rPr>
          <w:rFonts w:asciiTheme="majorHAnsi" w:hAnsiTheme="majorHAnsi" w:cs="Times"/>
          <w:position w:val="13"/>
          <w:lang w:val="fr-FR"/>
        </w:rPr>
      </w:pPr>
      <w:r w:rsidRPr="00F015DD">
        <w:rPr>
          <w:rFonts w:asciiTheme="majorHAnsi" w:hAnsiTheme="majorHAnsi" w:cs="Times"/>
          <w:lang w:val="fr-FR"/>
        </w:rPr>
        <w:t xml:space="preserve">2. </w:t>
      </w:r>
      <w:r w:rsidR="00613EF4" w:rsidRPr="00F015DD">
        <w:rPr>
          <w:rFonts w:asciiTheme="majorHAnsi" w:hAnsiTheme="majorHAnsi" w:cs="Times"/>
          <w:lang w:val="fr-FR"/>
        </w:rPr>
        <w:t xml:space="preserve">L'Etat </w:t>
      </w:r>
      <w:r w:rsidR="002A23B8" w:rsidRPr="00F015DD">
        <w:rPr>
          <w:rFonts w:asciiTheme="majorHAnsi" w:hAnsiTheme="majorHAnsi" w:cs="Times"/>
          <w:lang w:val="fr-FR"/>
        </w:rPr>
        <w:t>partie</w:t>
      </w:r>
      <w:r w:rsidR="00613EF4" w:rsidRPr="00F015DD">
        <w:rPr>
          <w:rFonts w:asciiTheme="majorHAnsi" w:hAnsiTheme="majorHAnsi" w:cs="Times"/>
          <w:lang w:val="fr-FR"/>
        </w:rPr>
        <w:t xml:space="preserve"> doit avoir </w:t>
      </w:r>
      <w:r w:rsidR="00613EF4" w:rsidRPr="00F015DD">
        <w:rPr>
          <w:rFonts w:asciiTheme="majorHAnsi" w:hAnsiTheme="majorHAnsi" w:cs="Times"/>
          <w:i/>
          <w:lang w:val="fr-FR"/>
        </w:rPr>
        <w:t xml:space="preserve">proclamé </w:t>
      </w:r>
      <w:r w:rsidR="002A23B8" w:rsidRPr="00F015DD">
        <w:rPr>
          <w:rFonts w:asciiTheme="majorHAnsi" w:hAnsiTheme="majorHAnsi" w:cs="Times"/>
          <w:i/>
          <w:lang w:val="fr-FR"/>
        </w:rPr>
        <w:t xml:space="preserve">officiellement </w:t>
      </w:r>
      <w:r w:rsidR="00C46469" w:rsidRPr="00F015DD">
        <w:rPr>
          <w:rFonts w:asciiTheme="majorHAnsi" w:hAnsiTheme="majorHAnsi" w:cs="Times"/>
          <w:i/>
          <w:lang w:val="fr-FR"/>
        </w:rPr>
        <w:t>l'</w:t>
      </w:r>
      <w:r w:rsidR="00613EF4" w:rsidRPr="00F015DD">
        <w:rPr>
          <w:rFonts w:asciiTheme="majorHAnsi" w:hAnsiTheme="majorHAnsi" w:cs="Times"/>
          <w:i/>
          <w:lang w:val="fr-FR"/>
        </w:rPr>
        <w:t>état d'urgence</w:t>
      </w:r>
      <w:r w:rsidR="00613EF4" w:rsidRPr="00F015DD">
        <w:rPr>
          <w:rFonts w:asciiTheme="majorHAnsi" w:hAnsiTheme="majorHAnsi" w:cs="Times"/>
          <w:lang w:val="fr-FR"/>
        </w:rPr>
        <w:t xml:space="preserve">. </w:t>
      </w:r>
    </w:p>
    <w:p w14:paraId="562D3219" w14:textId="77777777" w:rsidR="001C7A13" w:rsidRPr="00F015DD" w:rsidRDefault="001C7A13" w:rsidP="001C7A13">
      <w:pPr>
        <w:widowControl w:val="0"/>
        <w:autoSpaceDE w:val="0"/>
        <w:autoSpaceDN w:val="0"/>
        <w:adjustRightInd w:val="0"/>
        <w:jc w:val="both"/>
        <w:rPr>
          <w:rFonts w:asciiTheme="majorHAnsi" w:hAnsiTheme="majorHAnsi" w:cs="Times"/>
          <w:position w:val="13"/>
          <w:lang w:val="fr-FR"/>
        </w:rPr>
      </w:pPr>
    </w:p>
    <w:p w14:paraId="1EE7BA62" w14:textId="77777777" w:rsidR="006070AF" w:rsidRPr="00F015DD" w:rsidRDefault="00613EF4" w:rsidP="001C7A13">
      <w:pPr>
        <w:widowControl w:val="0"/>
        <w:autoSpaceDE w:val="0"/>
        <w:autoSpaceDN w:val="0"/>
        <w:adjustRightInd w:val="0"/>
        <w:jc w:val="both"/>
        <w:rPr>
          <w:rFonts w:asciiTheme="majorHAnsi" w:hAnsiTheme="majorHAnsi" w:cs="Times"/>
          <w:position w:val="13"/>
          <w:lang w:val="fr-FR"/>
        </w:rPr>
      </w:pPr>
      <w:r w:rsidRPr="00F015DD">
        <w:rPr>
          <w:rFonts w:asciiTheme="majorHAnsi" w:hAnsiTheme="majorHAnsi" w:cs="Times"/>
          <w:lang w:val="fr-FR"/>
        </w:rPr>
        <w:t xml:space="preserve">Les Etats doivent également apporter "des justificatifs non seulement pour les motifs </w:t>
      </w:r>
      <w:r w:rsidRPr="00F015DD">
        <w:rPr>
          <w:rFonts w:asciiTheme="majorHAnsi" w:hAnsiTheme="majorHAnsi" w:cs="Times"/>
          <w:lang w:val="fr-FR"/>
        </w:rPr>
        <w:lastRenderedPageBreak/>
        <w:t>ayant conduit à la proclamation de l'état d'urgence mais aussi pour toute mesure spécifique basée sur une telle proclamation"</w:t>
      </w:r>
      <w:r w:rsidR="006070AF" w:rsidRPr="00F015DD">
        <w:rPr>
          <w:rFonts w:asciiTheme="majorHAnsi" w:hAnsiTheme="majorHAnsi" w:cs="Times"/>
          <w:lang w:val="fr-FR"/>
        </w:rPr>
        <w:t>.</w:t>
      </w:r>
      <w:r w:rsidR="006070AF" w:rsidRPr="00F015DD">
        <w:rPr>
          <w:rFonts w:asciiTheme="majorHAnsi" w:hAnsiTheme="majorHAnsi" w:cs="Times"/>
          <w:position w:val="13"/>
          <w:lang w:val="fr-FR"/>
        </w:rPr>
        <w:t xml:space="preserve"> </w:t>
      </w:r>
    </w:p>
    <w:p w14:paraId="3AE5F826" w14:textId="77777777" w:rsidR="0038014C" w:rsidRPr="00F015DD" w:rsidRDefault="0038014C" w:rsidP="001C7A13">
      <w:pPr>
        <w:widowControl w:val="0"/>
        <w:autoSpaceDE w:val="0"/>
        <w:autoSpaceDN w:val="0"/>
        <w:adjustRightInd w:val="0"/>
        <w:jc w:val="both"/>
        <w:rPr>
          <w:rFonts w:asciiTheme="majorHAnsi" w:hAnsiTheme="majorHAnsi" w:cs="Times"/>
          <w:position w:val="13"/>
          <w:lang w:val="fr-FR"/>
        </w:rPr>
      </w:pPr>
    </w:p>
    <w:p w14:paraId="236DACA3" w14:textId="77777777" w:rsidR="006B0DC6" w:rsidRPr="00F015DD" w:rsidRDefault="00613EF4" w:rsidP="001C7A13">
      <w:pPr>
        <w:widowControl w:val="0"/>
        <w:autoSpaceDE w:val="0"/>
        <w:autoSpaceDN w:val="0"/>
        <w:adjustRightInd w:val="0"/>
        <w:jc w:val="both"/>
        <w:rPr>
          <w:rFonts w:asciiTheme="majorHAnsi" w:hAnsiTheme="majorHAnsi" w:cs="Times"/>
          <w:lang w:val="fr-FR"/>
        </w:rPr>
      </w:pPr>
      <w:r w:rsidRPr="00F015DD">
        <w:rPr>
          <w:rFonts w:asciiTheme="majorHAnsi" w:hAnsiTheme="majorHAnsi" w:cs="Times"/>
          <w:lang w:val="fr-FR"/>
        </w:rPr>
        <w:t>En dehors de ces règles et principes d'interprétation, toute dérogation au droit de la liberté d'expression devient illégale</w:t>
      </w:r>
      <w:r w:rsidR="006070AF" w:rsidRPr="00F015DD">
        <w:rPr>
          <w:rFonts w:asciiTheme="majorHAnsi" w:hAnsiTheme="majorHAnsi" w:cs="Times"/>
          <w:lang w:val="fr-FR"/>
        </w:rPr>
        <w:t xml:space="preserve">. </w:t>
      </w:r>
    </w:p>
    <w:p w14:paraId="4184B318" w14:textId="77777777" w:rsidR="006B0DC6" w:rsidRPr="00F015DD" w:rsidRDefault="006B0DC6" w:rsidP="001C7A13">
      <w:pPr>
        <w:widowControl w:val="0"/>
        <w:autoSpaceDE w:val="0"/>
        <w:autoSpaceDN w:val="0"/>
        <w:adjustRightInd w:val="0"/>
        <w:jc w:val="both"/>
        <w:rPr>
          <w:rFonts w:asciiTheme="majorHAnsi" w:hAnsiTheme="majorHAnsi" w:cs="Times"/>
          <w:lang w:val="fr-FR"/>
        </w:rPr>
      </w:pPr>
    </w:p>
    <w:tbl>
      <w:tblPr>
        <w:tblStyle w:val="TableGrid"/>
        <w:tblW w:w="0" w:type="auto"/>
        <w:tblLook w:val="04A0" w:firstRow="1" w:lastRow="0" w:firstColumn="1" w:lastColumn="0" w:noHBand="0" w:noVBand="1"/>
      </w:tblPr>
      <w:tblGrid>
        <w:gridCol w:w="8856"/>
      </w:tblGrid>
      <w:tr w:rsidR="006B0DC6" w:rsidRPr="00F015DD" w14:paraId="02FA9EF0" w14:textId="77777777" w:rsidTr="00B237CF">
        <w:trPr>
          <w:trHeight w:val="4117"/>
        </w:trPr>
        <w:tc>
          <w:tcPr>
            <w:tcW w:w="8856" w:type="dxa"/>
            <w:shd w:val="clear" w:color="auto" w:fill="BFBFBF" w:themeFill="background1" w:themeFillShade="BF"/>
          </w:tcPr>
          <w:p w14:paraId="1AD77D4F" w14:textId="77777777" w:rsidR="006B0DC6" w:rsidRPr="00F015DD" w:rsidRDefault="002A23B8" w:rsidP="006B0DC6">
            <w:pPr>
              <w:widowControl w:val="0"/>
              <w:autoSpaceDE w:val="0"/>
              <w:autoSpaceDN w:val="0"/>
              <w:adjustRightInd w:val="0"/>
              <w:jc w:val="center"/>
              <w:rPr>
                <w:rFonts w:asciiTheme="majorHAnsi" w:hAnsiTheme="majorHAnsi" w:cs="Times"/>
                <w:b/>
                <w:lang w:val="fr-FR"/>
              </w:rPr>
            </w:pPr>
            <w:r w:rsidRPr="00F015DD">
              <w:rPr>
                <w:rFonts w:asciiTheme="majorHAnsi" w:hAnsiTheme="majorHAnsi" w:cs="Times"/>
                <w:b/>
                <w:lang w:val="fr-FR"/>
              </w:rPr>
              <w:t>Etats d'urgence et procès équitable</w:t>
            </w:r>
            <w:r w:rsidR="00CA2083" w:rsidRPr="00F015DD">
              <w:rPr>
                <w:rStyle w:val="FootnoteReference"/>
                <w:rFonts w:asciiTheme="majorHAnsi" w:hAnsiTheme="majorHAnsi" w:cs="Times"/>
                <w:b/>
                <w:lang w:val="fr-FR"/>
              </w:rPr>
              <w:footnoteReference w:id="7"/>
            </w:r>
          </w:p>
          <w:p w14:paraId="57EEEE27" w14:textId="77777777" w:rsidR="006B0DC6" w:rsidRPr="00F015DD" w:rsidRDefault="006B0DC6" w:rsidP="001C7A13">
            <w:pPr>
              <w:widowControl w:val="0"/>
              <w:autoSpaceDE w:val="0"/>
              <w:autoSpaceDN w:val="0"/>
              <w:adjustRightInd w:val="0"/>
              <w:jc w:val="both"/>
              <w:rPr>
                <w:rFonts w:ascii="Arial" w:hAnsi="Arial" w:cs="Arial"/>
                <w:sz w:val="28"/>
                <w:szCs w:val="28"/>
                <w:lang w:val="fr-FR"/>
              </w:rPr>
            </w:pPr>
          </w:p>
          <w:p w14:paraId="04333FB0" w14:textId="77777777" w:rsidR="006B0DC6" w:rsidRPr="00F015DD" w:rsidRDefault="00CA2083" w:rsidP="001C7A13">
            <w:pPr>
              <w:widowControl w:val="0"/>
              <w:autoSpaceDE w:val="0"/>
              <w:autoSpaceDN w:val="0"/>
              <w:adjustRightInd w:val="0"/>
              <w:jc w:val="both"/>
              <w:rPr>
                <w:rFonts w:asciiTheme="majorHAnsi" w:hAnsiTheme="majorHAnsi" w:cs="Arial"/>
                <w:sz w:val="22"/>
                <w:szCs w:val="22"/>
                <w:u w:color="0000C0"/>
                <w:lang w:val="fr-FR"/>
              </w:rPr>
            </w:pPr>
            <w:r w:rsidRPr="00F015DD">
              <w:rPr>
                <w:rFonts w:asciiTheme="majorHAnsi" w:hAnsiTheme="majorHAnsi" w:cs="Arial"/>
                <w:sz w:val="22"/>
                <w:szCs w:val="22"/>
                <w:lang w:val="fr-FR"/>
              </w:rPr>
              <w:t>“</w:t>
            </w:r>
            <w:r w:rsidR="002A23B8" w:rsidRPr="00F015DD">
              <w:rPr>
                <w:rFonts w:asciiTheme="majorHAnsi" w:hAnsiTheme="majorHAnsi" w:cs="Arial"/>
                <w:sz w:val="22"/>
                <w:szCs w:val="22"/>
                <w:lang w:val="fr-FR"/>
              </w:rPr>
              <w:t>Alors que le droit à un procès équitable ne fait pas partie des droits auxquels il n'est pas permis de déroger aux termes de l'article 4 (2) de l'</w:t>
            </w:r>
            <w:r w:rsidR="006B0DC6" w:rsidRPr="00F015DD">
              <w:rPr>
                <w:rFonts w:asciiTheme="majorHAnsi" w:hAnsiTheme="majorHAnsi" w:cs="Arial"/>
                <w:sz w:val="22"/>
                <w:szCs w:val="22"/>
                <w:lang w:val="fr-FR"/>
              </w:rPr>
              <w:t>ICCPR,</w:t>
            </w:r>
            <w:r w:rsidR="006B0DC6" w:rsidRPr="00F015DD">
              <w:rPr>
                <w:rFonts w:asciiTheme="majorHAnsi" w:hAnsiTheme="majorHAnsi" w:cs="Arial"/>
                <w:sz w:val="22"/>
                <w:szCs w:val="22"/>
                <w:u w:color="0000C0"/>
                <w:lang w:val="fr-FR"/>
              </w:rPr>
              <w:t xml:space="preserve"> </w:t>
            </w:r>
            <w:r w:rsidR="00C46469" w:rsidRPr="00F015DD">
              <w:rPr>
                <w:rFonts w:asciiTheme="majorHAnsi" w:hAnsiTheme="majorHAnsi" w:cs="Arial"/>
                <w:sz w:val="22"/>
                <w:szCs w:val="22"/>
                <w:u w:color="0000C0"/>
                <w:lang w:val="fr-FR"/>
              </w:rPr>
              <w:t>le</w:t>
            </w:r>
            <w:r w:rsidR="00D82E92" w:rsidRPr="00F015DD">
              <w:rPr>
                <w:rFonts w:asciiTheme="majorHAnsi" w:hAnsiTheme="majorHAnsi" w:cs="Arial"/>
                <w:sz w:val="22"/>
                <w:szCs w:val="22"/>
                <w:u w:color="0000C0"/>
                <w:lang w:val="fr-FR"/>
              </w:rPr>
              <w:t xml:space="preserve"> Comité des droits de l'H</w:t>
            </w:r>
            <w:r w:rsidR="002A23B8" w:rsidRPr="00F015DD">
              <w:rPr>
                <w:rFonts w:asciiTheme="majorHAnsi" w:hAnsiTheme="majorHAnsi" w:cs="Arial"/>
                <w:sz w:val="22"/>
                <w:szCs w:val="22"/>
                <w:u w:color="0000C0"/>
                <w:lang w:val="fr-FR"/>
              </w:rPr>
              <w:t>omme des Nations Unies a déclaré que les exigences fondamentales portant sur le droit à un procès équitable ne peuvent en aucun cas être abrogées</w:t>
            </w:r>
            <w:r w:rsidR="006B0DC6" w:rsidRPr="00F015DD">
              <w:rPr>
                <w:rStyle w:val="FootnoteReference"/>
                <w:rFonts w:asciiTheme="majorHAnsi" w:hAnsiTheme="majorHAnsi" w:cs="Arial"/>
                <w:sz w:val="22"/>
                <w:szCs w:val="22"/>
                <w:u w:color="0000C0"/>
                <w:lang w:val="fr-FR"/>
              </w:rPr>
              <w:footnoteReference w:id="8"/>
            </w:r>
            <w:r w:rsidR="006B0DC6" w:rsidRPr="00F015DD">
              <w:rPr>
                <w:rFonts w:asciiTheme="majorHAnsi" w:hAnsiTheme="majorHAnsi" w:cs="Arial"/>
                <w:sz w:val="22"/>
                <w:szCs w:val="22"/>
                <w:u w:color="0000C0"/>
                <w:lang w:val="fr-FR"/>
              </w:rPr>
              <w:t>.  </w:t>
            </w:r>
          </w:p>
          <w:p w14:paraId="3D1EFD88" w14:textId="77777777" w:rsidR="006B0DC6" w:rsidRPr="00F015DD" w:rsidRDefault="006B0DC6" w:rsidP="001C7A13">
            <w:pPr>
              <w:widowControl w:val="0"/>
              <w:autoSpaceDE w:val="0"/>
              <w:autoSpaceDN w:val="0"/>
              <w:adjustRightInd w:val="0"/>
              <w:jc w:val="both"/>
              <w:rPr>
                <w:rFonts w:asciiTheme="majorHAnsi" w:hAnsiTheme="majorHAnsi" w:cs="Arial"/>
                <w:sz w:val="22"/>
                <w:szCs w:val="22"/>
                <w:u w:color="0000C0"/>
                <w:lang w:val="fr-FR"/>
              </w:rPr>
            </w:pPr>
          </w:p>
          <w:p w14:paraId="68F125E4" w14:textId="77777777" w:rsidR="006B0DC6" w:rsidRPr="00F015DD" w:rsidRDefault="002A23B8" w:rsidP="001C7A13">
            <w:pPr>
              <w:widowControl w:val="0"/>
              <w:autoSpaceDE w:val="0"/>
              <w:autoSpaceDN w:val="0"/>
              <w:adjustRightInd w:val="0"/>
              <w:jc w:val="both"/>
              <w:rPr>
                <w:rFonts w:asciiTheme="majorHAnsi" w:hAnsiTheme="majorHAnsi" w:cs="Times"/>
                <w:sz w:val="22"/>
                <w:szCs w:val="22"/>
                <w:lang w:val="fr-FR"/>
              </w:rPr>
            </w:pPr>
            <w:r w:rsidRPr="00F015DD">
              <w:rPr>
                <w:rFonts w:asciiTheme="majorHAnsi" w:hAnsiTheme="majorHAnsi" w:cs="Arial"/>
                <w:sz w:val="22"/>
                <w:szCs w:val="22"/>
                <w:u w:color="0000C0"/>
                <w:lang w:val="fr-FR"/>
              </w:rPr>
              <w:t xml:space="preserve">L'importance du droit à un procès équitable dans le contexte des procédures pénales liées au terrorisme a été renforcée dans l'affaire opposant </w:t>
            </w:r>
            <w:r w:rsidR="006B0DC6" w:rsidRPr="00F015DD">
              <w:rPr>
                <w:rFonts w:asciiTheme="majorHAnsi" w:hAnsiTheme="majorHAnsi" w:cs="Arial"/>
                <w:i/>
                <w:iCs/>
                <w:sz w:val="22"/>
                <w:szCs w:val="22"/>
                <w:u w:color="0000C0"/>
                <w:lang w:val="fr-FR"/>
              </w:rPr>
              <w:t xml:space="preserve">Hamden </w:t>
            </w:r>
            <w:r w:rsidRPr="00F015DD">
              <w:rPr>
                <w:rFonts w:asciiTheme="majorHAnsi" w:hAnsiTheme="majorHAnsi" w:cs="Arial"/>
                <w:i/>
                <w:iCs/>
                <w:sz w:val="22"/>
                <w:szCs w:val="22"/>
                <w:u w:color="0000C0"/>
                <w:lang w:val="fr-FR"/>
              </w:rPr>
              <w:t>à</w:t>
            </w:r>
            <w:r w:rsidR="006B0DC6" w:rsidRPr="00F015DD">
              <w:rPr>
                <w:rFonts w:asciiTheme="majorHAnsi" w:hAnsiTheme="majorHAnsi" w:cs="Arial"/>
                <w:i/>
                <w:iCs/>
                <w:sz w:val="22"/>
                <w:szCs w:val="22"/>
                <w:u w:color="0000C0"/>
                <w:lang w:val="fr-FR"/>
              </w:rPr>
              <w:t xml:space="preserve"> </w:t>
            </w:r>
            <w:proofErr w:type="spellStart"/>
            <w:r w:rsidR="006B0DC6" w:rsidRPr="00F015DD">
              <w:rPr>
                <w:rFonts w:asciiTheme="majorHAnsi" w:hAnsiTheme="majorHAnsi" w:cs="Arial"/>
                <w:i/>
                <w:iCs/>
                <w:sz w:val="22"/>
                <w:szCs w:val="22"/>
                <w:u w:color="0000C0"/>
                <w:lang w:val="fr-FR"/>
              </w:rPr>
              <w:t>Rumsfeld</w:t>
            </w:r>
            <w:proofErr w:type="spellEnd"/>
            <w:r w:rsidRPr="00F015DD">
              <w:rPr>
                <w:rFonts w:asciiTheme="majorHAnsi" w:hAnsiTheme="majorHAnsi" w:cs="Arial"/>
                <w:i/>
                <w:iCs/>
                <w:sz w:val="22"/>
                <w:szCs w:val="22"/>
                <w:u w:color="0000C0"/>
                <w:lang w:val="fr-FR"/>
              </w:rPr>
              <w:t xml:space="preserve"> </w:t>
            </w:r>
            <w:r w:rsidRPr="00F015DD">
              <w:rPr>
                <w:rFonts w:asciiTheme="majorHAnsi" w:hAnsiTheme="majorHAnsi" w:cs="Arial"/>
                <w:iCs/>
                <w:sz w:val="22"/>
                <w:szCs w:val="22"/>
                <w:u w:color="0000C0"/>
                <w:lang w:val="fr-FR"/>
              </w:rPr>
              <w:t>à</w:t>
            </w:r>
            <w:r w:rsidR="00D82E92" w:rsidRPr="00F015DD">
              <w:rPr>
                <w:rFonts w:asciiTheme="majorHAnsi" w:hAnsiTheme="majorHAnsi" w:cs="Arial"/>
                <w:iCs/>
                <w:sz w:val="22"/>
                <w:szCs w:val="22"/>
                <w:u w:color="0000C0"/>
                <w:lang w:val="fr-FR"/>
              </w:rPr>
              <w:t xml:space="preserve"> l'occasion de laquelle la</w:t>
            </w:r>
            <w:r w:rsidR="00B237CF" w:rsidRPr="00F015DD">
              <w:rPr>
                <w:rFonts w:asciiTheme="majorHAnsi" w:hAnsiTheme="majorHAnsi" w:cs="Arial"/>
                <w:iCs/>
                <w:sz w:val="22"/>
                <w:szCs w:val="22"/>
                <w:u w:color="0000C0"/>
                <w:lang w:val="fr-FR"/>
              </w:rPr>
              <w:t xml:space="preserve"> cour</w:t>
            </w:r>
            <w:r w:rsidR="00C46469" w:rsidRPr="00F015DD">
              <w:rPr>
                <w:rFonts w:asciiTheme="majorHAnsi" w:hAnsiTheme="majorHAnsi" w:cs="Arial"/>
                <w:iCs/>
                <w:sz w:val="22"/>
                <w:szCs w:val="22"/>
                <w:u w:color="0000C0"/>
                <w:lang w:val="fr-FR"/>
              </w:rPr>
              <w:t xml:space="preserve"> suprême des Etats-</w:t>
            </w:r>
            <w:r w:rsidRPr="00F015DD">
              <w:rPr>
                <w:rFonts w:asciiTheme="majorHAnsi" w:hAnsiTheme="majorHAnsi" w:cs="Arial"/>
                <w:iCs/>
                <w:sz w:val="22"/>
                <w:szCs w:val="22"/>
                <w:u w:color="0000C0"/>
                <w:lang w:val="fr-FR"/>
              </w:rPr>
              <w:t>Unis d'Amérique a estimé que le droit d'un accusé à</w:t>
            </w:r>
            <w:r w:rsidRPr="00F015DD">
              <w:rPr>
                <w:rFonts w:asciiTheme="majorHAnsi" w:hAnsiTheme="majorHAnsi" w:cs="Arial"/>
                <w:i/>
                <w:iCs/>
                <w:sz w:val="22"/>
                <w:szCs w:val="22"/>
                <w:u w:color="0000C0"/>
                <w:lang w:val="fr-FR"/>
              </w:rPr>
              <w:t xml:space="preserve"> "être présent lors de son procès et d'être informé </w:t>
            </w:r>
            <w:r w:rsidR="00B237CF" w:rsidRPr="00F015DD">
              <w:rPr>
                <w:rFonts w:asciiTheme="majorHAnsi" w:hAnsiTheme="majorHAnsi" w:cs="Arial"/>
                <w:i/>
                <w:iCs/>
                <w:sz w:val="22"/>
                <w:szCs w:val="22"/>
                <w:u w:color="0000C0"/>
                <w:lang w:val="fr-FR"/>
              </w:rPr>
              <w:t xml:space="preserve">des preuves retenues contre lui, en l'absence d'une conduite  </w:t>
            </w:r>
            <w:r w:rsidRPr="00F015DD">
              <w:rPr>
                <w:rFonts w:asciiTheme="majorHAnsi" w:hAnsiTheme="majorHAnsi" w:cs="Arial"/>
                <w:i/>
                <w:iCs/>
                <w:sz w:val="22"/>
                <w:szCs w:val="22"/>
                <w:u w:color="0000C0"/>
                <w:lang w:val="fr-FR"/>
              </w:rPr>
              <w:t xml:space="preserve"> </w:t>
            </w:r>
            <w:r w:rsidR="006B0DC6" w:rsidRPr="00F015DD">
              <w:rPr>
                <w:rFonts w:asciiTheme="majorHAnsi" w:hAnsiTheme="majorHAnsi" w:cs="Arial"/>
                <w:i/>
                <w:iCs/>
                <w:sz w:val="22"/>
                <w:szCs w:val="22"/>
                <w:u w:color="0000C0"/>
                <w:lang w:val="fr-FR"/>
              </w:rPr>
              <w:t xml:space="preserve"> </w:t>
            </w:r>
            <w:r w:rsidR="00B237CF" w:rsidRPr="00F015DD">
              <w:rPr>
                <w:rFonts w:asciiTheme="majorHAnsi" w:hAnsiTheme="majorHAnsi" w:cs="Arial"/>
                <w:i/>
                <w:iCs/>
                <w:sz w:val="22"/>
                <w:szCs w:val="22"/>
                <w:u w:color="0000C0"/>
                <w:lang w:val="fr-FR"/>
              </w:rPr>
              <w:t>préjudiciable ou de consentement" fait " indiscutablement partie du droit international coutumier</w:t>
            </w:r>
            <w:r w:rsidR="006B0DC6" w:rsidRPr="00F015DD">
              <w:rPr>
                <w:rFonts w:asciiTheme="majorHAnsi" w:hAnsiTheme="majorHAnsi" w:cs="Arial"/>
                <w:sz w:val="22"/>
                <w:szCs w:val="22"/>
                <w:u w:color="0000C0"/>
                <w:lang w:val="fr-FR"/>
              </w:rPr>
              <w:t>’</w:t>
            </w:r>
            <w:r w:rsidR="00CA2083" w:rsidRPr="00F015DD">
              <w:rPr>
                <w:rStyle w:val="FootnoteReference"/>
                <w:rFonts w:asciiTheme="majorHAnsi" w:hAnsiTheme="majorHAnsi" w:cs="Arial"/>
                <w:sz w:val="22"/>
                <w:szCs w:val="22"/>
                <w:u w:color="0000C0"/>
                <w:lang w:val="fr-FR"/>
              </w:rPr>
              <w:footnoteReference w:id="9"/>
            </w:r>
            <w:r w:rsidR="006B0DC6" w:rsidRPr="00F015DD">
              <w:rPr>
                <w:rFonts w:asciiTheme="majorHAnsi" w:hAnsiTheme="majorHAnsi" w:cs="Arial"/>
                <w:sz w:val="22"/>
                <w:szCs w:val="22"/>
                <w:u w:color="0000C0"/>
                <w:lang w:val="fr-FR"/>
              </w:rPr>
              <w:t>.</w:t>
            </w:r>
            <w:r w:rsidR="00CA2083" w:rsidRPr="00F015DD">
              <w:rPr>
                <w:rFonts w:asciiTheme="majorHAnsi" w:hAnsiTheme="majorHAnsi" w:cs="Arial"/>
                <w:sz w:val="22"/>
                <w:szCs w:val="22"/>
                <w:u w:color="0000C0"/>
                <w:lang w:val="fr-FR"/>
              </w:rPr>
              <w:t>”</w:t>
            </w:r>
          </w:p>
          <w:p w14:paraId="064793B8" w14:textId="77777777" w:rsidR="006B0DC6" w:rsidRPr="00F015DD" w:rsidRDefault="006B0DC6" w:rsidP="001C7A13">
            <w:pPr>
              <w:widowControl w:val="0"/>
              <w:autoSpaceDE w:val="0"/>
              <w:autoSpaceDN w:val="0"/>
              <w:adjustRightInd w:val="0"/>
              <w:jc w:val="both"/>
              <w:rPr>
                <w:rFonts w:asciiTheme="majorHAnsi" w:hAnsiTheme="majorHAnsi" w:cs="Times"/>
                <w:lang w:val="fr-FR"/>
              </w:rPr>
            </w:pPr>
          </w:p>
        </w:tc>
      </w:tr>
    </w:tbl>
    <w:p w14:paraId="63B00D4A" w14:textId="77777777" w:rsidR="006070AF" w:rsidRPr="00F015DD" w:rsidRDefault="006070AF" w:rsidP="001C7A13">
      <w:pPr>
        <w:jc w:val="both"/>
        <w:rPr>
          <w:rFonts w:asciiTheme="majorHAnsi" w:hAnsiTheme="majorHAnsi"/>
          <w:lang w:val="fr-FR"/>
        </w:rPr>
      </w:pPr>
    </w:p>
    <w:p w14:paraId="73FAC140" w14:textId="77777777" w:rsidR="00B17125" w:rsidRPr="00F015DD" w:rsidRDefault="00842C0D" w:rsidP="006070AF">
      <w:pPr>
        <w:jc w:val="both"/>
        <w:rPr>
          <w:rFonts w:asciiTheme="majorHAnsi" w:hAnsiTheme="majorHAnsi"/>
          <w:b/>
          <w:u w:val="single"/>
          <w:lang w:val="fr-FR"/>
        </w:rPr>
      </w:pPr>
      <w:r w:rsidRPr="00F015DD">
        <w:rPr>
          <w:rFonts w:asciiTheme="majorHAnsi" w:hAnsiTheme="majorHAnsi"/>
          <w:b/>
          <w:u w:val="single"/>
          <w:lang w:val="fr-FR"/>
        </w:rPr>
        <w:t xml:space="preserve">I.2. </w:t>
      </w:r>
      <w:r w:rsidR="00B237CF" w:rsidRPr="00F015DD">
        <w:rPr>
          <w:rFonts w:asciiTheme="majorHAnsi" w:hAnsiTheme="majorHAnsi"/>
          <w:b/>
          <w:u w:val="single"/>
          <w:lang w:val="fr-FR"/>
        </w:rPr>
        <w:t xml:space="preserve">Restrictions à la liberté d'expression pour cause de sécurité nationale dans l'ICCPR </w:t>
      </w:r>
    </w:p>
    <w:p w14:paraId="75D49E45" w14:textId="77777777" w:rsidR="00AC23C2" w:rsidRPr="00F015DD" w:rsidRDefault="00AC23C2" w:rsidP="006070AF">
      <w:pPr>
        <w:jc w:val="both"/>
        <w:rPr>
          <w:rFonts w:asciiTheme="majorHAnsi" w:hAnsiTheme="majorHAnsi"/>
          <w:b/>
          <w:u w:val="single"/>
          <w:lang w:val="fr-FR"/>
        </w:rPr>
      </w:pPr>
    </w:p>
    <w:p w14:paraId="78C8BE2A" w14:textId="77777777" w:rsidR="00AC23C2" w:rsidRPr="00F015DD" w:rsidRDefault="00B237CF" w:rsidP="00AC23C2">
      <w:pPr>
        <w:widowControl w:val="0"/>
        <w:autoSpaceDE w:val="0"/>
        <w:autoSpaceDN w:val="0"/>
        <w:adjustRightInd w:val="0"/>
        <w:jc w:val="both"/>
        <w:rPr>
          <w:rFonts w:asciiTheme="majorHAnsi" w:hAnsiTheme="majorHAnsi" w:cs="Times"/>
          <w:lang w:val="fr-FR"/>
        </w:rPr>
      </w:pPr>
      <w:r w:rsidRPr="00F015DD">
        <w:rPr>
          <w:rFonts w:asciiTheme="majorHAnsi" w:hAnsiTheme="majorHAnsi" w:cs="Verdana"/>
          <w:bCs/>
          <w:color w:val="242424"/>
          <w:lang w:val="fr-FR"/>
        </w:rPr>
        <w:t>Le Pacte international relatif aux droits civils et politiques</w:t>
      </w:r>
      <w:r w:rsidRPr="00F015DD">
        <w:rPr>
          <w:rFonts w:asciiTheme="majorHAnsi" w:hAnsiTheme="majorHAnsi" w:cs="Times"/>
          <w:lang w:val="fr-FR"/>
        </w:rPr>
        <w:t xml:space="preserve"> (ICCPR) autorise certaines restrictions aux droits et libertés fondamentaux y compris la l</w:t>
      </w:r>
      <w:r w:rsidR="00C46469" w:rsidRPr="00F015DD">
        <w:rPr>
          <w:rFonts w:asciiTheme="majorHAnsi" w:hAnsiTheme="majorHAnsi" w:cs="Times"/>
          <w:lang w:val="fr-FR"/>
        </w:rPr>
        <w:t>iberté d'expression à condition</w:t>
      </w:r>
      <w:r w:rsidRPr="00F015DD">
        <w:rPr>
          <w:rFonts w:asciiTheme="majorHAnsi" w:hAnsiTheme="majorHAnsi" w:cs="Times"/>
          <w:lang w:val="fr-FR"/>
        </w:rPr>
        <w:t xml:space="preserve"> que de telles restrictions soient prévues par la loi</w:t>
      </w:r>
      <w:r w:rsidR="00AC23C2" w:rsidRPr="00F015DD">
        <w:rPr>
          <w:rFonts w:asciiTheme="majorHAnsi" w:hAnsiTheme="majorHAnsi" w:cs="Times"/>
          <w:sz w:val="22"/>
          <w:szCs w:val="22"/>
          <w:lang w:val="fr-FR"/>
        </w:rPr>
        <w:t xml:space="preserve">, </w:t>
      </w:r>
      <w:r w:rsidRPr="00F015DD">
        <w:rPr>
          <w:rFonts w:asciiTheme="majorHAnsi" w:hAnsiTheme="majorHAnsi" w:cs="Times"/>
          <w:lang w:val="fr-FR"/>
        </w:rPr>
        <w:t>qu'elles servent un but légitime (respect des droits et de la réputation d'autrui, la protection de la sécurité nationale ou le maintien</w:t>
      </w:r>
      <w:r w:rsidR="00C46469" w:rsidRPr="00F015DD">
        <w:rPr>
          <w:rFonts w:asciiTheme="majorHAnsi" w:hAnsiTheme="majorHAnsi" w:cs="Times"/>
          <w:lang w:val="fr-FR"/>
        </w:rPr>
        <w:t xml:space="preserve"> de</w:t>
      </w:r>
      <w:r w:rsidRPr="00F015DD">
        <w:rPr>
          <w:rFonts w:asciiTheme="majorHAnsi" w:hAnsiTheme="majorHAnsi" w:cs="Times"/>
          <w:lang w:val="fr-FR"/>
        </w:rPr>
        <w:t xml:space="preserve"> l'ordre, de la morale ou de la santé publics</w:t>
      </w:r>
      <w:r w:rsidR="00AC23C2" w:rsidRPr="00F015DD">
        <w:rPr>
          <w:rFonts w:asciiTheme="majorHAnsi" w:hAnsiTheme="majorHAnsi" w:cs="Times"/>
          <w:lang w:val="fr-FR"/>
        </w:rPr>
        <w:t xml:space="preserve">) </w:t>
      </w:r>
      <w:r w:rsidRPr="00F015DD">
        <w:rPr>
          <w:rFonts w:asciiTheme="majorHAnsi" w:hAnsiTheme="majorHAnsi" w:cs="Times"/>
          <w:lang w:val="fr-FR"/>
        </w:rPr>
        <w:t xml:space="preserve">et qu'elles soient nécessaires dans une société démocratique. </w:t>
      </w:r>
    </w:p>
    <w:p w14:paraId="48345043" w14:textId="77777777" w:rsidR="00AC23C2" w:rsidRPr="00F015DD" w:rsidRDefault="00AC23C2" w:rsidP="00AC23C2">
      <w:pPr>
        <w:widowControl w:val="0"/>
        <w:autoSpaceDE w:val="0"/>
        <w:autoSpaceDN w:val="0"/>
        <w:adjustRightInd w:val="0"/>
        <w:jc w:val="both"/>
        <w:rPr>
          <w:rFonts w:asciiTheme="majorHAnsi" w:hAnsiTheme="majorHAnsi" w:cs="Times"/>
          <w:color w:val="343434"/>
          <w:sz w:val="22"/>
          <w:szCs w:val="22"/>
          <w:lang w:val="fr-FR"/>
        </w:rPr>
      </w:pPr>
    </w:p>
    <w:p w14:paraId="19F7EFB0" w14:textId="77777777" w:rsidR="00AC23C2" w:rsidRPr="00F015DD" w:rsidRDefault="00842C0D" w:rsidP="006070AF">
      <w:pPr>
        <w:jc w:val="both"/>
        <w:rPr>
          <w:rFonts w:asciiTheme="majorHAnsi" w:hAnsiTheme="majorHAnsi"/>
          <w:b/>
          <w:i/>
          <w:lang w:val="fr-FR"/>
        </w:rPr>
      </w:pPr>
      <w:r w:rsidRPr="00F015DD">
        <w:rPr>
          <w:rFonts w:asciiTheme="majorHAnsi" w:hAnsiTheme="majorHAnsi"/>
          <w:b/>
          <w:i/>
          <w:lang w:val="fr-FR"/>
        </w:rPr>
        <w:t xml:space="preserve">I.2.1. </w:t>
      </w:r>
      <w:r w:rsidR="00AC23C2" w:rsidRPr="00F015DD">
        <w:rPr>
          <w:rFonts w:asciiTheme="majorHAnsi" w:hAnsiTheme="majorHAnsi"/>
          <w:b/>
          <w:i/>
          <w:lang w:val="fr-FR"/>
        </w:rPr>
        <w:t>Article 19, ICCPR</w:t>
      </w:r>
    </w:p>
    <w:p w14:paraId="57B2E224" w14:textId="77777777" w:rsidR="00AC23C2" w:rsidRPr="00F015DD" w:rsidRDefault="00AC23C2" w:rsidP="006070AF">
      <w:pPr>
        <w:jc w:val="both"/>
        <w:rPr>
          <w:rFonts w:asciiTheme="majorHAnsi" w:hAnsiTheme="majorHAnsi"/>
          <w:color w:val="000000"/>
          <w:sz w:val="22"/>
          <w:szCs w:val="22"/>
          <w:lang w:val="fr-FR"/>
        </w:rPr>
      </w:pPr>
    </w:p>
    <w:p w14:paraId="049A698E" w14:textId="77648F76" w:rsidR="00E22777" w:rsidRPr="00F015DD" w:rsidRDefault="00B237CF" w:rsidP="006070AF">
      <w:pPr>
        <w:jc w:val="both"/>
        <w:rPr>
          <w:rFonts w:asciiTheme="majorHAnsi" w:hAnsiTheme="majorHAnsi"/>
          <w:color w:val="000000"/>
          <w:sz w:val="22"/>
          <w:szCs w:val="22"/>
          <w:lang w:val="fr-FR"/>
        </w:rPr>
      </w:pPr>
      <w:r w:rsidRPr="00F015DD">
        <w:rPr>
          <w:rFonts w:asciiTheme="majorHAnsi" w:hAnsiTheme="majorHAnsi"/>
          <w:color w:val="000000"/>
          <w:sz w:val="22"/>
          <w:szCs w:val="22"/>
          <w:lang w:val="fr-FR"/>
        </w:rPr>
        <w:t xml:space="preserve">L'article 19 ne précise pas </w:t>
      </w:r>
      <w:r w:rsidR="003D1897" w:rsidRPr="00F015DD">
        <w:rPr>
          <w:rFonts w:asciiTheme="majorHAnsi" w:hAnsiTheme="majorHAnsi"/>
          <w:color w:val="000000"/>
          <w:sz w:val="22"/>
          <w:szCs w:val="22"/>
          <w:lang w:val="fr-FR"/>
        </w:rPr>
        <w:t>quel type d</w:t>
      </w:r>
      <w:r w:rsidRPr="00F015DD">
        <w:rPr>
          <w:rFonts w:asciiTheme="majorHAnsi" w:hAnsiTheme="majorHAnsi"/>
          <w:color w:val="000000"/>
          <w:sz w:val="22"/>
          <w:szCs w:val="22"/>
          <w:lang w:val="fr-FR"/>
        </w:rPr>
        <w:t xml:space="preserve">'expression pouvant être soumise à des restrictions mais il identifie les conditions dans </w:t>
      </w:r>
      <w:proofErr w:type="spellStart"/>
      <w:r w:rsidRPr="00F015DD">
        <w:rPr>
          <w:rFonts w:asciiTheme="majorHAnsi" w:hAnsiTheme="majorHAnsi"/>
          <w:color w:val="000000"/>
          <w:sz w:val="22"/>
          <w:szCs w:val="22"/>
          <w:lang w:val="fr-FR"/>
        </w:rPr>
        <w:t>lesquelle</w:t>
      </w:r>
      <w:proofErr w:type="spellEnd"/>
      <w:r w:rsidRPr="00F015DD">
        <w:rPr>
          <w:rFonts w:asciiTheme="majorHAnsi" w:hAnsiTheme="majorHAnsi"/>
          <w:color w:val="000000"/>
          <w:sz w:val="22"/>
          <w:szCs w:val="22"/>
          <w:lang w:val="fr-FR"/>
        </w:rPr>
        <w:t xml:space="preserve"> l'expression peut être légitimement </w:t>
      </w:r>
      <w:proofErr w:type="spellStart"/>
      <w:r w:rsidRPr="00F015DD">
        <w:rPr>
          <w:rFonts w:asciiTheme="majorHAnsi" w:hAnsiTheme="majorHAnsi"/>
          <w:color w:val="000000"/>
          <w:sz w:val="22"/>
          <w:szCs w:val="22"/>
          <w:lang w:val="fr-FR"/>
        </w:rPr>
        <w:t>réstreinte</w:t>
      </w:r>
      <w:proofErr w:type="spellEnd"/>
      <w:r w:rsidRPr="00F015DD">
        <w:rPr>
          <w:rFonts w:asciiTheme="majorHAnsi" w:hAnsiTheme="majorHAnsi"/>
          <w:color w:val="000000"/>
          <w:sz w:val="22"/>
          <w:szCs w:val="22"/>
          <w:lang w:val="fr-FR"/>
        </w:rPr>
        <w:t xml:space="preserve">. D'après le </w:t>
      </w:r>
      <w:r w:rsidR="003D1897" w:rsidRPr="00F015DD">
        <w:rPr>
          <w:rFonts w:asciiTheme="majorHAnsi" w:hAnsiTheme="majorHAnsi"/>
          <w:color w:val="000000"/>
          <w:sz w:val="22"/>
          <w:szCs w:val="22"/>
          <w:lang w:val="fr-FR"/>
        </w:rPr>
        <w:lastRenderedPageBreak/>
        <w:t>test en</w:t>
      </w:r>
      <w:r w:rsidRPr="00F015DD">
        <w:rPr>
          <w:rFonts w:asciiTheme="majorHAnsi" w:hAnsiTheme="majorHAnsi"/>
          <w:color w:val="000000"/>
          <w:sz w:val="22"/>
          <w:szCs w:val="22"/>
          <w:lang w:val="fr-FR"/>
        </w:rPr>
        <w:t xml:space="preserve"> trois parties, la liberté d'expression peut être légitimement restreinte lorsque les trois conditions suivantes sont satisfaites (voir annexe 1)</w:t>
      </w:r>
      <w:r w:rsidR="00E22777" w:rsidRPr="00F015DD">
        <w:rPr>
          <w:rFonts w:asciiTheme="majorHAnsi" w:hAnsiTheme="majorHAnsi"/>
          <w:color w:val="000000"/>
          <w:sz w:val="22"/>
          <w:szCs w:val="22"/>
          <w:lang w:val="fr-FR"/>
        </w:rPr>
        <w:t xml:space="preserve">: </w:t>
      </w:r>
    </w:p>
    <w:p w14:paraId="32D02455" w14:textId="77777777" w:rsidR="00E22777" w:rsidRPr="00F015DD" w:rsidRDefault="00B237CF" w:rsidP="00E22777">
      <w:pPr>
        <w:pStyle w:val="ListParagraph"/>
        <w:numPr>
          <w:ilvl w:val="0"/>
          <w:numId w:val="10"/>
        </w:numPr>
        <w:jc w:val="both"/>
        <w:rPr>
          <w:rFonts w:asciiTheme="majorHAnsi" w:hAnsiTheme="majorHAnsi"/>
          <w:color w:val="000000"/>
          <w:sz w:val="22"/>
          <w:szCs w:val="22"/>
          <w:lang w:val="fr-FR"/>
        </w:rPr>
      </w:pPr>
      <w:r w:rsidRPr="00F015DD">
        <w:rPr>
          <w:rFonts w:asciiTheme="majorHAnsi" w:hAnsiTheme="majorHAnsi"/>
          <w:color w:val="000000"/>
          <w:sz w:val="22"/>
          <w:szCs w:val="22"/>
          <w:lang w:val="fr-FR"/>
        </w:rPr>
        <w:t>La restriction est prévue par la loi</w:t>
      </w:r>
      <w:r w:rsidR="00E22777" w:rsidRPr="00F015DD">
        <w:rPr>
          <w:rFonts w:asciiTheme="majorHAnsi" w:hAnsiTheme="majorHAnsi"/>
          <w:color w:val="000000"/>
          <w:sz w:val="22"/>
          <w:szCs w:val="22"/>
          <w:lang w:val="fr-FR"/>
        </w:rPr>
        <w:t xml:space="preserve">, </w:t>
      </w:r>
    </w:p>
    <w:p w14:paraId="760EB01C" w14:textId="77777777" w:rsidR="00E22777" w:rsidRPr="00F015DD" w:rsidRDefault="00B237CF" w:rsidP="00E22777">
      <w:pPr>
        <w:pStyle w:val="ListParagraph"/>
        <w:numPr>
          <w:ilvl w:val="0"/>
          <w:numId w:val="10"/>
        </w:numPr>
        <w:jc w:val="both"/>
        <w:rPr>
          <w:rFonts w:asciiTheme="majorHAnsi" w:hAnsiTheme="majorHAnsi"/>
          <w:i/>
          <w:color w:val="000000"/>
          <w:sz w:val="22"/>
          <w:szCs w:val="22"/>
          <w:lang w:val="fr-FR"/>
        </w:rPr>
      </w:pPr>
      <w:r w:rsidRPr="00F015DD">
        <w:rPr>
          <w:rFonts w:asciiTheme="majorHAnsi" w:hAnsiTheme="majorHAnsi" w:cs="Times"/>
          <w:sz w:val="22"/>
          <w:szCs w:val="22"/>
          <w:lang w:val="fr-FR"/>
        </w:rPr>
        <w:t>Les justificatifs de la restriction sont spécifiques</w:t>
      </w:r>
      <w:r w:rsidR="00E22777" w:rsidRPr="00F015DD">
        <w:rPr>
          <w:rFonts w:asciiTheme="majorHAnsi" w:hAnsiTheme="majorHAnsi" w:cs="Times"/>
          <w:sz w:val="22"/>
          <w:szCs w:val="22"/>
          <w:lang w:val="fr-FR"/>
        </w:rPr>
        <w:t>:</w:t>
      </w:r>
      <w:r w:rsidR="00E22777" w:rsidRPr="00F015DD">
        <w:rPr>
          <w:rFonts w:ascii="Times" w:hAnsi="Times" w:cs="Times"/>
          <w:sz w:val="22"/>
          <w:szCs w:val="22"/>
          <w:lang w:val="fr-FR"/>
        </w:rPr>
        <w:t xml:space="preserve"> </w:t>
      </w:r>
      <w:r w:rsidRPr="00F015DD">
        <w:rPr>
          <w:rFonts w:asciiTheme="majorHAnsi" w:hAnsiTheme="majorHAnsi"/>
          <w:i/>
          <w:color w:val="000000"/>
          <w:sz w:val="22"/>
          <w:szCs w:val="22"/>
          <w:lang w:val="fr-FR"/>
        </w:rPr>
        <w:t xml:space="preserve">(a) au respect des droits ou de la réputation d'autrui; </w:t>
      </w:r>
      <w:r w:rsidR="00E22777" w:rsidRPr="00F015DD">
        <w:rPr>
          <w:rFonts w:asciiTheme="majorHAnsi" w:hAnsiTheme="majorHAnsi"/>
          <w:i/>
          <w:color w:val="000000"/>
          <w:sz w:val="22"/>
          <w:szCs w:val="22"/>
          <w:lang w:val="fr-FR"/>
        </w:rPr>
        <w:t>(b)</w:t>
      </w:r>
      <w:r w:rsidR="00C46469" w:rsidRPr="00F015DD">
        <w:rPr>
          <w:rFonts w:asciiTheme="majorHAnsi" w:hAnsiTheme="majorHAnsi"/>
          <w:i/>
          <w:color w:val="000000"/>
          <w:sz w:val="22"/>
          <w:szCs w:val="22"/>
          <w:lang w:val="fr-FR"/>
        </w:rPr>
        <w:t xml:space="preserve"> </w:t>
      </w:r>
      <w:r w:rsidRPr="00F015DD">
        <w:rPr>
          <w:rFonts w:asciiTheme="majorHAnsi" w:hAnsiTheme="majorHAnsi"/>
          <w:i/>
          <w:color w:val="000000"/>
          <w:sz w:val="22"/>
          <w:szCs w:val="22"/>
          <w:lang w:val="fr-FR"/>
        </w:rPr>
        <w:t xml:space="preserve">à la protection de la sécurité nationale ou de l'ordre, de la morale </w:t>
      </w:r>
      <w:r w:rsidR="00C46469" w:rsidRPr="00F015DD">
        <w:rPr>
          <w:rFonts w:asciiTheme="majorHAnsi" w:hAnsiTheme="majorHAnsi"/>
          <w:i/>
          <w:color w:val="000000"/>
          <w:sz w:val="22"/>
          <w:szCs w:val="22"/>
          <w:lang w:val="fr-FR"/>
        </w:rPr>
        <w:t>ou</w:t>
      </w:r>
      <w:r w:rsidRPr="00F015DD">
        <w:rPr>
          <w:rFonts w:asciiTheme="majorHAnsi" w:hAnsiTheme="majorHAnsi"/>
          <w:i/>
          <w:color w:val="000000"/>
          <w:sz w:val="22"/>
          <w:szCs w:val="22"/>
          <w:lang w:val="fr-FR"/>
        </w:rPr>
        <w:t xml:space="preserve"> de la santé publics. </w:t>
      </w:r>
    </w:p>
    <w:p w14:paraId="5EBB0C08" w14:textId="77777777" w:rsidR="003D1897" w:rsidRPr="00F015DD" w:rsidRDefault="00B237CF" w:rsidP="003D1897">
      <w:pPr>
        <w:pStyle w:val="ListParagraph"/>
        <w:numPr>
          <w:ilvl w:val="0"/>
          <w:numId w:val="10"/>
        </w:numPr>
        <w:jc w:val="both"/>
        <w:rPr>
          <w:rFonts w:asciiTheme="majorHAnsi" w:hAnsiTheme="majorHAnsi"/>
          <w:color w:val="000000"/>
          <w:sz w:val="22"/>
          <w:szCs w:val="22"/>
          <w:lang w:val="fr-FR"/>
        </w:rPr>
      </w:pPr>
      <w:r w:rsidRPr="00F015DD">
        <w:rPr>
          <w:rFonts w:asciiTheme="majorHAnsi" w:hAnsiTheme="majorHAnsi"/>
          <w:color w:val="000000"/>
          <w:sz w:val="22"/>
          <w:szCs w:val="22"/>
          <w:lang w:val="fr-FR"/>
        </w:rPr>
        <w:t>La restriction est nécessaire dans une société démocratique et est proportionnelle</w:t>
      </w:r>
      <w:r w:rsidR="00E22777" w:rsidRPr="00F015DD">
        <w:rPr>
          <w:rFonts w:asciiTheme="majorHAnsi" w:hAnsiTheme="majorHAnsi"/>
          <w:color w:val="000000"/>
          <w:sz w:val="22"/>
          <w:szCs w:val="22"/>
          <w:lang w:val="fr-FR"/>
        </w:rPr>
        <w:t xml:space="preserve">. </w:t>
      </w:r>
    </w:p>
    <w:p w14:paraId="658971F1" w14:textId="77777777" w:rsidR="003D1897" w:rsidRPr="00F015DD" w:rsidRDefault="003D1897" w:rsidP="003D1897">
      <w:pPr>
        <w:jc w:val="both"/>
        <w:rPr>
          <w:rFonts w:asciiTheme="majorHAnsi" w:hAnsiTheme="majorHAnsi"/>
          <w:sz w:val="22"/>
          <w:szCs w:val="22"/>
          <w:lang w:val="fr-FR"/>
        </w:rPr>
      </w:pPr>
    </w:p>
    <w:p w14:paraId="5678379E" w14:textId="64E52A60" w:rsidR="0038014C" w:rsidRPr="00F015DD" w:rsidRDefault="003D1897" w:rsidP="003D1897">
      <w:pPr>
        <w:jc w:val="both"/>
        <w:rPr>
          <w:rFonts w:asciiTheme="majorHAnsi" w:hAnsiTheme="majorHAnsi"/>
          <w:color w:val="000000"/>
          <w:sz w:val="22"/>
          <w:szCs w:val="22"/>
          <w:lang w:val="fr-FR"/>
        </w:rPr>
      </w:pPr>
      <w:r w:rsidRPr="00F015DD">
        <w:rPr>
          <w:rFonts w:asciiTheme="majorHAnsi" w:hAnsiTheme="majorHAnsi"/>
          <w:sz w:val="22"/>
          <w:szCs w:val="22"/>
          <w:lang w:val="fr-FR"/>
        </w:rPr>
        <w:t>La sécurité nationale constitue l'un des justificatifs admis pour la limitation du droit à la liberté d'expression.</w:t>
      </w:r>
      <w:r w:rsidRPr="00F015DD">
        <w:rPr>
          <w:rStyle w:val="FootnoteReference"/>
          <w:rFonts w:asciiTheme="majorHAnsi" w:hAnsiTheme="majorHAnsi"/>
          <w:sz w:val="22"/>
          <w:szCs w:val="22"/>
          <w:lang w:val="fr-FR"/>
        </w:rPr>
        <w:footnoteReference w:id="10"/>
      </w:r>
      <w:r w:rsidRPr="00F015DD">
        <w:rPr>
          <w:rFonts w:asciiTheme="majorHAnsi" w:hAnsiTheme="majorHAnsi"/>
          <w:sz w:val="22"/>
          <w:szCs w:val="22"/>
          <w:lang w:val="fr-FR"/>
        </w:rPr>
        <w:t xml:space="preserve"> </w:t>
      </w:r>
    </w:p>
    <w:p w14:paraId="4697A06F" w14:textId="77777777" w:rsidR="003D1897" w:rsidRPr="00F015DD" w:rsidRDefault="003D1897" w:rsidP="003D1897">
      <w:pPr>
        <w:jc w:val="both"/>
        <w:rPr>
          <w:rFonts w:asciiTheme="majorHAnsi" w:hAnsiTheme="majorHAnsi"/>
          <w:color w:val="000000"/>
          <w:sz w:val="22"/>
          <w:szCs w:val="22"/>
          <w:lang w:val="fr-FR"/>
        </w:rPr>
      </w:pPr>
    </w:p>
    <w:tbl>
      <w:tblPr>
        <w:tblStyle w:val="TableGrid"/>
        <w:tblW w:w="0" w:type="auto"/>
        <w:tblLook w:val="04A0" w:firstRow="1" w:lastRow="0" w:firstColumn="1" w:lastColumn="0" w:noHBand="0" w:noVBand="1"/>
      </w:tblPr>
      <w:tblGrid>
        <w:gridCol w:w="8856"/>
      </w:tblGrid>
      <w:tr w:rsidR="0038014C" w:rsidRPr="00F015DD" w14:paraId="1AA6EE13" w14:textId="77777777" w:rsidTr="006D6209">
        <w:tc>
          <w:tcPr>
            <w:tcW w:w="8856" w:type="dxa"/>
            <w:shd w:val="clear" w:color="auto" w:fill="BFBFBF" w:themeFill="background1" w:themeFillShade="BF"/>
          </w:tcPr>
          <w:p w14:paraId="5CFA9F88" w14:textId="77777777" w:rsidR="0038014C" w:rsidRPr="00F015DD" w:rsidRDefault="00B237CF" w:rsidP="0038014C">
            <w:pPr>
              <w:widowControl w:val="0"/>
              <w:autoSpaceDE w:val="0"/>
              <w:autoSpaceDN w:val="0"/>
              <w:adjustRightInd w:val="0"/>
              <w:jc w:val="center"/>
              <w:rPr>
                <w:rFonts w:asciiTheme="majorHAnsi" w:hAnsiTheme="majorHAnsi" w:cs="Arial"/>
                <w:b/>
                <w:sz w:val="28"/>
                <w:szCs w:val="28"/>
                <w:lang w:val="fr-FR"/>
              </w:rPr>
            </w:pPr>
            <w:r w:rsidRPr="00F015DD">
              <w:rPr>
                <w:rFonts w:asciiTheme="majorHAnsi" w:hAnsiTheme="majorHAnsi" w:cs="Arial"/>
                <w:b/>
                <w:sz w:val="28"/>
                <w:szCs w:val="28"/>
                <w:lang w:val="fr-FR"/>
              </w:rPr>
              <w:t xml:space="preserve">Le test de la proportionnalité </w:t>
            </w:r>
          </w:p>
          <w:p w14:paraId="15C71D45" w14:textId="77777777" w:rsidR="0038014C" w:rsidRPr="00F015DD" w:rsidRDefault="0038014C" w:rsidP="0038014C">
            <w:pPr>
              <w:widowControl w:val="0"/>
              <w:autoSpaceDE w:val="0"/>
              <w:autoSpaceDN w:val="0"/>
              <w:adjustRightInd w:val="0"/>
              <w:jc w:val="both"/>
              <w:rPr>
                <w:rFonts w:asciiTheme="majorHAnsi" w:hAnsiTheme="majorHAnsi" w:cs="Arial"/>
                <w:lang w:val="fr-FR"/>
              </w:rPr>
            </w:pPr>
          </w:p>
          <w:p w14:paraId="12BA9305" w14:textId="77777777" w:rsidR="0038014C" w:rsidRPr="00F015DD" w:rsidRDefault="00B237CF" w:rsidP="00B237CF">
            <w:pPr>
              <w:widowControl w:val="0"/>
              <w:autoSpaceDE w:val="0"/>
              <w:autoSpaceDN w:val="0"/>
              <w:adjustRightInd w:val="0"/>
              <w:jc w:val="both"/>
              <w:rPr>
                <w:rFonts w:asciiTheme="majorHAnsi" w:hAnsiTheme="majorHAnsi" w:cs="Arial"/>
                <w:u w:color="0000C0"/>
                <w:lang w:val="fr-FR"/>
              </w:rPr>
            </w:pPr>
            <w:r w:rsidRPr="00F015DD">
              <w:rPr>
                <w:rFonts w:asciiTheme="majorHAnsi" w:hAnsiTheme="majorHAnsi" w:cs="Arial"/>
                <w:sz w:val="22"/>
                <w:szCs w:val="22"/>
                <w:lang w:val="fr-FR"/>
              </w:rPr>
              <w:t>Le test décisif qui doit être passé est celui de la proportionnalité. La cour est appelé</w:t>
            </w:r>
            <w:r w:rsidR="00C46469" w:rsidRPr="00F015DD">
              <w:rPr>
                <w:rFonts w:asciiTheme="majorHAnsi" w:hAnsiTheme="majorHAnsi" w:cs="Arial"/>
                <w:sz w:val="22"/>
                <w:szCs w:val="22"/>
                <w:lang w:val="fr-FR"/>
              </w:rPr>
              <w:t>e</w:t>
            </w:r>
            <w:r w:rsidRPr="00F015DD">
              <w:rPr>
                <w:rFonts w:asciiTheme="majorHAnsi" w:hAnsiTheme="majorHAnsi" w:cs="Arial"/>
                <w:sz w:val="22"/>
                <w:szCs w:val="22"/>
                <w:lang w:val="fr-FR"/>
              </w:rPr>
              <w:t xml:space="preserve"> à vérifier si la restriction constitue "le moyen le moins restrictif" permettant d'atteindre l'objectif recherché qui est, dans ce cas, la protection du public contre un acte de vi</w:t>
            </w:r>
            <w:r w:rsidR="0019600D" w:rsidRPr="00F015DD">
              <w:rPr>
                <w:rFonts w:asciiTheme="majorHAnsi" w:hAnsiTheme="majorHAnsi" w:cs="Arial"/>
                <w:sz w:val="22"/>
                <w:szCs w:val="22"/>
                <w:lang w:val="fr-FR"/>
              </w:rPr>
              <w:t>olence, de terrorisme ou tout</w:t>
            </w:r>
            <w:r w:rsidRPr="00F015DD">
              <w:rPr>
                <w:rFonts w:asciiTheme="majorHAnsi" w:hAnsiTheme="majorHAnsi" w:cs="Arial"/>
                <w:sz w:val="22"/>
                <w:szCs w:val="22"/>
                <w:lang w:val="fr-FR"/>
              </w:rPr>
              <w:t xml:space="preserve"> autre acte similaire</w:t>
            </w:r>
            <w:r w:rsidR="0038014C" w:rsidRPr="00F015DD">
              <w:rPr>
                <w:rFonts w:asciiTheme="majorHAnsi" w:hAnsiTheme="majorHAnsi" w:cs="Arial"/>
                <w:sz w:val="22"/>
                <w:szCs w:val="22"/>
                <w:u w:color="0000C0"/>
                <w:lang w:val="fr-FR"/>
              </w:rPr>
              <w:t>.”</w:t>
            </w:r>
          </w:p>
        </w:tc>
      </w:tr>
    </w:tbl>
    <w:p w14:paraId="11081EC7" w14:textId="77777777" w:rsidR="0038014C" w:rsidRPr="00F015DD" w:rsidRDefault="0038014C" w:rsidP="0038014C">
      <w:pPr>
        <w:widowControl w:val="0"/>
        <w:autoSpaceDE w:val="0"/>
        <w:autoSpaceDN w:val="0"/>
        <w:adjustRightInd w:val="0"/>
        <w:spacing w:after="240"/>
        <w:jc w:val="both"/>
        <w:rPr>
          <w:rFonts w:asciiTheme="majorHAnsi" w:hAnsiTheme="majorHAnsi" w:cs="Times"/>
          <w:sz w:val="22"/>
          <w:szCs w:val="22"/>
          <w:lang w:val="fr-FR"/>
        </w:rPr>
      </w:pPr>
    </w:p>
    <w:p w14:paraId="511ECC58" w14:textId="77777777" w:rsidR="00C0089A" w:rsidRPr="00F015DD" w:rsidRDefault="0019600D" w:rsidP="00C0089A">
      <w:pPr>
        <w:widowControl w:val="0"/>
        <w:autoSpaceDE w:val="0"/>
        <w:autoSpaceDN w:val="0"/>
        <w:adjustRightInd w:val="0"/>
        <w:jc w:val="both"/>
        <w:rPr>
          <w:rFonts w:asciiTheme="majorHAnsi" w:hAnsiTheme="majorHAnsi" w:cs="Times"/>
          <w:sz w:val="22"/>
          <w:szCs w:val="22"/>
          <w:lang w:val="fr-FR"/>
        </w:rPr>
      </w:pPr>
      <w:r w:rsidRPr="00F015DD">
        <w:rPr>
          <w:rFonts w:asciiTheme="majorHAnsi" w:hAnsiTheme="majorHAnsi" w:cs="Times"/>
          <w:sz w:val="22"/>
          <w:szCs w:val="22"/>
          <w:lang w:val="fr-FR"/>
        </w:rPr>
        <w:t xml:space="preserve">Les Principes de </w:t>
      </w:r>
      <w:r w:rsidR="00C0089A" w:rsidRPr="00F015DD">
        <w:rPr>
          <w:rFonts w:asciiTheme="majorHAnsi" w:hAnsiTheme="majorHAnsi" w:cs="Times"/>
          <w:sz w:val="22"/>
          <w:szCs w:val="22"/>
          <w:lang w:val="fr-FR"/>
        </w:rPr>
        <w:t>Syracuse</w:t>
      </w:r>
      <w:r w:rsidRPr="00F015DD">
        <w:rPr>
          <w:rFonts w:asciiTheme="majorHAnsi" w:hAnsiTheme="majorHAnsi" w:cs="Times"/>
          <w:sz w:val="22"/>
          <w:szCs w:val="22"/>
          <w:lang w:val="fr-FR"/>
        </w:rPr>
        <w:t xml:space="preserve"> adoptés en 1985 sur les dispositions du </w:t>
      </w:r>
      <w:r w:rsidRPr="00F015DD">
        <w:rPr>
          <w:rFonts w:asciiTheme="majorHAnsi" w:hAnsiTheme="majorHAnsi" w:cs="Verdana"/>
          <w:bCs/>
          <w:color w:val="242424"/>
          <w:sz w:val="22"/>
          <w:szCs w:val="22"/>
          <w:lang w:val="fr-FR"/>
        </w:rPr>
        <w:t>Pacte international relatif aux droits civils et politiques</w:t>
      </w:r>
      <w:r w:rsidRPr="00F015DD">
        <w:rPr>
          <w:rFonts w:asciiTheme="majorHAnsi" w:hAnsiTheme="majorHAnsi" w:cs="Times"/>
          <w:sz w:val="22"/>
          <w:szCs w:val="22"/>
          <w:lang w:val="fr-FR"/>
        </w:rPr>
        <w:t xml:space="preserve"> qui autorisent des restrictions ou des dérogations, exigent que la portée d'une limitation prévue dans le Pacte ne doit aucunement être interprétée de manière à compromettre l'essence du droit concerné. Lesdits principes définissent l'intérêt légitime de sécurité nationale comme étant un intérêt visant à "protéger l'existence de la nation, son intégrité territoriale ou son indépendance polit</w:t>
      </w:r>
      <w:r w:rsidR="00C46469" w:rsidRPr="00F015DD">
        <w:rPr>
          <w:rFonts w:asciiTheme="majorHAnsi" w:hAnsiTheme="majorHAnsi" w:cs="Times"/>
          <w:sz w:val="22"/>
          <w:szCs w:val="22"/>
          <w:lang w:val="fr-FR"/>
        </w:rPr>
        <w:t>ique contre la force ou la mena</w:t>
      </w:r>
      <w:r w:rsidRPr="00F015DD">
        <w:rPr>
          <w:rFonts w:asciiTheme="majorHAnsi" w:hAnsiTheme="majorHAnsi" w:cs="Times"/>
          <w:sz w:val="22"/>
          <w:szCs w:val="22"/>
          <w:lang w:val="fr-FR"/>
        </w:rPr>
        <w:t>ce de force</w:t>
      </w:r>
      <w:r w:rsidR="00C0089A" w:rsidRPr="00F015DD">
        <w:rPr>
          <w:rFonts w:asciiTheme="majorHAnsi" w:hAnsiTheme="majorHAnsi"/>
          <w:bCs/>
          <w:i/>
          <w:sz w:val="22"/>
          <w:szCs w:val="22"/>
          <w:lang w:val="fr-FR"/>
        </w:rPr>
        <w:t>.</w:t>
      </w:r>
      <w:r w:rsidR="00C0089A" w:rsidRPr="00F015DD">
        <w:rPr>
          <w:rFonts w:asciiTheme="majorHAnsi" w:hAnsiTheme="majorHAnsi"/>
          <w:bCs/>
          <w:sz w:val="22"/>
          <w:szCs w:val="22"/>
          <w:lang w:val="fr-FR"/>
        </w:rPr>
        <w:t>"</w:t>
      </w:r>
      <w:r w:rsidR="00C0089A" w:rsidRPr="00F015DD">
        <w:rPr>
          <w:rStyle w:val="FootnoteReference"/>
          <w:rFonts w:asciiTheme="majorHAnsi" w:hAnsiTheme="majorHAnsi"/>
          <w:bCs/>
          <w:sz w:val="22"/>
          <w:szCs w:val="22"/>
          <w:lang w:val="fr-FR"/>
        </w:rPr>
        <w:footnoteReference w:id="11"/>
      </w:r>
      <w:r w:rsidR="00C0089A" w:rsidRPr="00F015DD">
        <w:rPr>
          <w:rFonts w:asciiTheme="majorHAnsi" w:hAnsiTheme="majorHAnsi"/>
          <w:bCs/>
          <w:sz w:val="22"/>
          <w:szCs w:val="22"/>
          <w:lang w:val="fr-FR"/>
        </w:rPr>
        <w:t xml:space="preserve">  </w:t>
      </w:r>
    </w:p>
    <w:p w14:paraId="25921FBE" w14:textId="77777777" w:rsidR="00C0089A" w:rsidRPr="00F015DD" w:rsidRDefault="00C0089A" w:rsidP="006070AF">
      <w:pPr>
        <w:jc w:val="both"/>
        <w:rPr>
          <w:rFonts w:asciiTheme="majorHAnsi" w:hAnsiTheme="majorHAnsi"/>
          <w:sz w:val="22"/>
          <w:szCs w:val="22"/>
          <w:lang w:val="fr-FR"/>
        </w:rPr>
      </w:pPr>
    </w:p>
    <w:p w14:paraId="71D87258" w14:textId="36E2E288" w:rsidR="00136F69" w:rsidRPr="00F015DD" w:rsidRDefault="0019600D" w:rsidP="00136F69">
      <w:pPr>
        <w:jc w:val="both"/>
        <w:rPr>
          <w:rFonts w:asciiTheme="majorHAnsi" w:hAnsiTheme="majorHAnsi"/>
          <w:color w:val="000000"/>
          <w:sz w:val="22"/>
          <w:szCs w:val="22"/>
          <w:lang w:val="fr-FR"/>
        </w:rPr>
      </w:pPr>
      <w:r w:rsidRPr="00F015DD">
        <w:rPr>
          <w:rFonts w:asciiTheme="majorHAnsi" w:hAnsiTheme="majorHAnsi"/>
          <w:color w:val="000000"/>
          <w:sz w:val="22"/>
          <w:szCs w:val="22"/>
          <w:lang w:val="fr-FR"/>
        </w:rPr>
        <w:t xml:space="preserve">Dans </w:t>
      </w:r>
      <w:r w:rsidRPr="00F015DD">
        <w:rPr>
          <w:rFonts w:asciiTheme="majorHAnsi" w:hAnsiTheme="majorHAnsi"/>
          <w:b/>
          <w:color w:val="000000"/>
          <w:sz w:val="22"/>
          <w:szCs w:val="22"/>
          <w:lang w:val="fr-FR"/>
        </w:rPr>
        <w:t>l'Observation Générale</w:t>
      </w:r>
      <w:r w:rsidR="00F93E8F" w:rsidRPr="00F015DD">
        <w:rPr>
          <w:rFonts w:asciiTheme="majorHAnsi" w:hAnsiTheme="majorHAnsi"/>
          <w:b/>
          <w:color w:val="000000"/>
          <w:sz w:val="22"/>
          <w:szCs w:val="22"/>
          <w:lang w:val="fr-FR"/>
        </w:rPr>
        <w:t xml:space="preserve"> 34</w:t>
      </w:r>
      <w:r w:rsidR="00F93E8F" w:rsidRPr="00F015DD">
        <w:rPr>
          <w:rFonts w:asciiTheme="majorHAnsi" w:hAnsiTheme="majorHAnsi"/>
          <w:color w:val="000000"/>
          <w:sz w:val="22"/>
          <w:szCs w:val="22"/>
          <w:lang w:val="fr-FR"/>
        </w:rPr>
        <w:t xml:space="preserve">, </w:t>
      </w:r>
      <w:r w:rsidR="00C46469" w:rsidRPr="00F015DD">
        <w:rPr>
          <w:rFonts w:asciiTheme="majorHAnsi" w:hAnsiTheme="majorHAnsi"/>
          <w:color w:val="000000"/>
          <w:sz w:val="22"/>
          <w:szCs w:val="22"/>
          <w:lang w:val="fr-FR"/>
        </w:rPr>
        <w:t>Le C</w:t>
      </w:r>
      <w:r w:rsidRPr="00F015DD">
        <w:rPr>
          <w:rFonts w:asciiTheme="majorHAnsi" w:hAnsiTheme="majorHAnsi"/>
          <w:color w:val="000000"/>
          <w:sz w:val="22"/>
          <w:szCs w:val="22"/>
          <w:lang w:val="fr-FR"/>
        </w:rPr>
        <w:t>omité des droits de l'homme</w:t>
      </w:r>
      <w:r w:rsidR="001D003D" w:rsidRPr="00F015DD">
        <w:rPr>
          <w:rFonts w:asciiTheme="majorHAnsi" w:hAnsiTheme="majorHAnsi"/>
          <w:color w:val="000000"/>
          <w:sz w:val="22"/>
          <w:szCs w:val="22"/>
          <w:lang w:val="fr-FR"/>
        </w:rPr>
        <w:t xml:space="preserve"> (CDH)</w:t>
      </w:r>
      <w:r w:rsidRPr="00F015DD">
        <w:rPr>
          <w:rFonts w:asciiTheme="majorHAnsi" w:hAnsiTheme="majorHAnsi"/>
          <w:color w:val="000000"/>
          <w:sz w:val="22"/>
          <w:szCs w:val="22"/>
          <w:lang w:val="fr-FR"/>
        </w:rPr>
        <w:t xml:space="preserve"> a interprété l'article 19 et a présenté plusieurs analyses pertinentes portant sur la sécurité nationale</w:t>
      </w:r>
      <w:r w:rsidR="00F210A3" w:rsidRPr="00F015DD">
        <w:rPr>
          <w:rStyle w:val="FootnoteReference"/>
          <w:rFonts w:asciiTheme="majorHAnsi" w:hAnsiTheme="majorHAnsi"/>
          <w:color w:val="000000"/>
          <w:sz w:val="22"/>
          <w:szCs w:val="22"/>
          <w:lang w:val="fr-FR"/>
        </w:rPr>
        <w:footnoteReference w:id="12"/>
      </w:r>
      <w:r w:rsidR="00136F69" w:rsidRPr="00F015DD">
        <w:rPr>
          <w:rFonts w:asciiTheme="majorHAnsi" w:hAnsiTheme="majorHAnsi"/>
          <w:color w:val="000000"/>
          <w:sz w:val="22"/>
          <w:szCs w:val="22"/>
          <w:lang w:val="fr-FR"/>
        </w:rPr>
        <w:t xml:space="preserve">. </w:t>
      </w:r>
    </w:p>
    <w:p w14:paraId="17A78E43" w14:textId="77777777" w:rsidR="00136F69" w:rsidRPr="00F015DD" w:rsidRDefault="00136F69" w:rsidP="00136F69">
      <w:pPr>
        <w:jc w:val="both"/>
        <w:rPr>
          <w:rFonts w:asciiTheme="majorHAnsi" w:hAnsiTheme="majorHAnsi"/>
          <w:color w:val="000000"/>
          <w:sz w:val="22"/>
          <w:szCs w:val="22"/>
          <w:lang w:val="fr-FR"/>
        </w:rPr>
      </w:pPr>
    </w:p>
    <w:p w14:paraId="12095039" w14:textId="6A571A8D" w:rsidR="00136F69" w:rsidRPr="00F015DD" w:rsidRDefault="001D003D" w:rsidP="002B7E5C">
      <w:pPr>
        <w:jc w:val="both"/>
        <w:rPr>
          <w:rFonts w:asciiTheme="majorHAnsi" w:hAnsiTheme="majorHAnsi" w:cs="Times New Roman"/>
          <w:i/>
          <w:sz w:val="22"/>
          <w:szCs w:val="22"/>
          <w:lang w:val="fr-FR"/>
        </w:rPr>
      </w:pPr>
      <w:r w:rsidRPr="00F015DD">
        <w:rPr>
          <w:rFonts w:asciiTheme="majorHAnsi" w:hAnsiTheme="majorHAnsi"/>
          <w:b/>
          <w:color w:val="000000"/>
          <w:sz w:val="22"/>
          <w:szCs w:val="22"/>
          <w:lang w:val="fr-FR"/>
        </w:rPr>
        <w:t>Premièrement</w:t>
      </w:r>
      <w:r w:rsidR="0019600D" w:rsidRPr="00F015DD">
        <w:rPr>
          <w:rFonts w:asciiTheme="majorHAnsi" w:hAnsiTheme="majorHAnsi"/>
          <w:b/>
          <w:color w:val="000000"/>
          <w:sz w:val="22"/>
          <w:szCs w:val="22"/>
          <w:lang w:val="fr-FR"/>
        </w:rPr>
        <w:t xml:space="preserve">, </w:t>
      </w:r>
      <w:r w:rsidR="0019600D" w:rsidRPr="00F015DD">
        <w:rPr>
          <w:rFonts w:asciiTheme="majorHAnsi" w:hAnsiTheme="majorHAnsi"/>
          <w:color w:val="000000"/>
          <w:sz w:val="22"/>
          <w:szCs w:val="22"/>
          <w:lang w:val="fr-FR"/>
        </w:rPr>
        <w:t xml:space="preserve">en ce qui concerne les bases légales d'une restriction pour motif de sécurité nationale, le </w:t>
      </w:r>
      <w:r w:rsidRPr="00F015DD">
        <w:rPr>
          <w:rFonts w:asciiTheme="majorHAnsi" w:hAnsiTheme="majorHAnsi"/>
          <w:color w:val="000000"/>
          <w:sz w:val="22"/>
          <w:szCs w:val="22"/>
          <w:lang w:val="fr-FR"/>
        </w:rPr>
        <w:t>CDH</w:t>
      </w:r>
      <w:r w:rsidR="0019600D" w:rsidRPr="00F015DD">
        <w:rPr>
          <w:rFonts w:asciiTheme="majorHAnsi" w:hAnsiTheme="majorHAnsi"/>
          <w:color w:val="000000"/>
          <w:sz w:val="22"/>
          <w:szCs w:val="22"/>
          <w:lang w:val="fr-FR"/>
        </w:rPr>
        <w:t xml:space="preserve"> insiste sur le fait </w:t>
      </w:r>
      <w:r w:rsidRPr="00F015DD">
        <w:rPr>
          <w:rFonts w:asciiTheme="majorHAnsi" w:hAnsiTheme="majorHAnsi"/>
          <w:color w:val="000000"/>
          <w:sz w:val="22"/>
          <w:szCs w:val="22"/>
          <w:lang w:val="fr-FR"/>
        </w:rPr>
        <w:t>"</w:t>
      </w:r>
      <w:r w:rsidR="0019600D" w:rsidRPr="00F015DD">
        <w:rPr>
          <w:rFonts w:asciiTheme="majorHAnsi" w:hAnsiTheme="majorHAnsi"/>
          <w:color w:val="000000"/>
          <w:sz w:val="22"/>
          <w:szCs w:val="22"/>
          <w:lang w:val="fr-FR"/>
        </w:rPr>
        <w:t>qu</w:t>
      </w:r>
      <w:r w:rsidRPr="00F015DD">
        <w:rPr>
          <w:rFonts w:asciiTheme="majorHAnsi" w:hAnsiTheme="majorHAnsi"/>
          <w:color w:val="000000"/>
          <w:sz w:val="22"/>
          <w:szCs w:val="22"/>
          <w:lang w:val="fr-FR"/>
        </w:rPr>
        <w:t xml:space="preserve">'il serait incompatible avec le paragraphe 3 d'invoquer, par exemple, de telles lois pour dissimuler ou refuser de divulguer des informations d'intérêt public </w:t>
      </w:r>
      <w:r w:rsidRPr="00F015DD">
        <w:rPr>
          <w:rFonts w:asciiTheme="majorHAnsi" w:hAnsiTheme="majorHAnsi" w:cs="Times New Roman"/>
          <w:i/>
          <w:sz w:val="22"/>
          <w:szCs w:val="22"/>
          <w:lang w:val="fr-FR"/>
        </w:rPr>
        <w:t>qui ne portent pas atteinte à la sécurité nationale ou pour poursuivre des journalistes, des chercheurs, des activistes environnementaux ou des droits de l'homme ou autres pour avoir diffusé de telles informations...</w:t>
      </w:r>
      <w:r w:rsidR="00F210A3" w:rsidRPr="00F015DD">
        <w:rPr>
          <w:rStyle w:val="FootnoteReference"/>
          <w:rFonts w:asciiTheme="majorHAnsi" w:hAnsiTheme="majorHAnsi" w:cs="Times New Roman"/>
          <w:i/>
          <w:sz w:val="22"/>
          <w:szCs w:val="22"/>
          <w:lang w:val="fr-FR"/>
        </w:rPr>
        <w:footnoteReference w:id="13"/>
      </w:r>
      <w:r w:rsidRPr="00F015DD">
        <w:rPr>
          <w:rFonts w:asciiTheme="majorHAnsi" w:hAnsiTheme="majorHAnsi" w:cs="Times New Roman"/>
          <w:i/>
          <w:sz w:val="22"/>
          <w:szCs w:val="22"/>
          <w:lang w:val="fr-FR"/>
        </w:rPr>
        <w:t xml:space="preserve">"  </w:t>
      </w:r>
      <w:r w:rsidR="00136F69" w:rsidRPr="00F015DD">
        <w:rPr>
          <w:rFonts w:asciiTheme="majorHAnsi" w:hAnsiTheme="majorHAnsi" w:cs="Times New Roman"/>
          <w:i/>
          <w:sz w:val="22"/>
          <w:szCs w:val="22"/>
          <w:lang w:val="fr-FR"/>
        </w:rPr>
        <w:t xml:space="preserve"> </w:t>
      </w:r>
    </w:p>
    <w:p w14:paraId="0A5750CF" w14:textId="77777777" w:rsidR="002B7E5C" w:rsidRPr="00F015DD" w:rsidRDefault="002B7E5C" w:rsidP="002B7E5C">
      <w:pPr>
        <w:widowControl w:val="0"/>
        <w:autoSpaceDE w:val="0"/>
        <w:autoSpaceDN w:val="0"/>
        <w:adjustRightInd w:val="0"/>
        <w:jc w:val="both"/>
        <w:rPr>
          <w:rFonts w:asciiTheme="majorHAnsi" w:hAnsiTheme="majorHAnsi" w:cs="Times New Roman"/>
          <w:sz w:val="22"/>
          <w:szCs w:val="22"/>
          <w:lang w:val="fr-FR"/>
        </w:rPr>
      </w:pPr>
    </w:p>
    <w:p w14:paraId="52C3CE38" w14:textId="77777777" w:rsidR="00C0089A" w:rsidRPr="00F015DD" w:rsidRDefault="001D003D" w:rsidP="00C0089A">
      <w:pPr>
        <w:widowControl w:val="0"/>
        <w:tabs>
          <w:tab w:val="left" w:pos="220"/>
          <w:tab w:val="left" w:pos="720"/>
        </w:tabs>
        <w:autoSpaceDE w:val="0"/>
        <w:autoSpaceDN w:val="0"/>
        <w:adjustRightInd w:val="0"/>
        <w:jc w:val="both"/>
        <w:rPr>
          <w:rFonts w:asciiTheme="majorHAnsi" w:hAnsiTheme="majorHAnsi" w:cs="Times"/>
          <w:i/>
          <w:sz w:val="22"/>
          <w:szCs w:val="22"/>
          <w:lang w:val="fr-FR"/>
        </w:rPr>
      </w:pPr>
      <w:r w:rsidRPr="00F015DD">
        <w:rPr>
          <w:rFonts w:asciiTheme="majorHAnsi" w:hAnsiTheme="majorHAnsi"/>
          <w:bCs/>
          <w:sz w:val="22"/>
          <w:szCs w:val="22"/>
          <w:lang w:val="fr-FR"/>
        </w:rPr>
        <w:t>De même, les Principes de Syracuse mentionnés ci-dessus spécifient qu'une restriction concernant la sécurité nationale "</w:t>
      </w:r>
      <w:r w:rsidRPr="00F015DD">
        <w:rPr>
          <w:rFonts w:asciiTheme="majorHAnsi" w:hAnsiTheme="majorHAnsi"/>
          <w:bCs/>
          <w:i/>
          <w:sz w:val="22"/>
          <w:szCs w:val="22"/>
          <w:lang w:val="fr-FR"/>
        </w:rPr>
        <w:t>ne peut être invoquée comme motif pour introduire des restrictions lorsqu'il s'agit de prévenir  des menaces de caractère local ou relativement isolées contre la loi et l'ordre</w:t>
      </w:r>
      <w:r w:rsidR="00C0089A" w:rsidRPr="00F015DD">
        <w:rPr>
          <w:rFonts w:asciiTheme="majorHAnsi" w:hAnsiTheme="majorHAnsi"/>
          <w:bCs/>
          <w:sz w:val="22"/>
          <w:szCs w:val="22"/>
          <w:lang w:val="fr-FR"/>
        </w:rPr>
        <w:t>."</w:t>
      </w:r>
      <w:r w:rsidR="00C0089A" w:rsidRPr="00F015DD">
        <w:rPr>
          <w:rStyle w:val="FootnoteReference"/>
          <w:rFonts w:asciiTheme="majorHAnsi" w:hAnsiTheme="majorHAnsi"/>
          <w:bCs/>
          <w:sz w:val="22"/>
          <w:szCs w:val="22"/>
          <w:lang w:val="fr-FR"/>
        </w:rPr>
        <w:footnoteReference w:id="14"/>
      </w:r>
      <w:r w:rsidR="00C0089A" w:rsidRPr="00F015DD">
        <w:rPr>
          <w:rFonts w:asciiTheme="majorHAnsi" w:hAnsiTheme="majorHAnsi"/>
          <w:bCs/>
          <w:sz w:val="22"/>
          <w:szCs w:val="22"/>
          <w:lang w:val="fr-FR"/>
        </w:rPr>
        <w:t xml:space="preserve"> </w:t>
      </w:r>
      <w:r w:rsidRPr="00F015DD">
        <w:rPr>
          <w:rFonts w:asciiTheme="majorHAnsi" w:hAnsiTheme="majorHAnsi"/>
          <w:bCs/>
          <w:sz w:val="22"/>
          <w:szCs w:val="22"/>
          <w:lang w:val="fr-FR"/>
        </w:rPr>
        <w:t xml:space="preserve">Ils insistent aussi sur le fait que </w:t>
      </w:r>
      <w:r w:rsidR="00C0089A" w:rsidRPr="00F015DD">
        <w:rPr>
          <w:rFonts w:asciiTheme="majorHAnsi" w:hAnsiTheme="majorHAnsi"/>
          <w:bCs/>
          <w:sz w:val="22"/>
          <w:szCs w:val="22"/>
          <w:lang w:val="fr-FR"/>
        </w:rPr>
        <w:t>“</w:t>
      </w:r>
      <w:r w:rsidRPr="00F015DD">
        <w:rPr>
          <w:rFonts w:asciiTheme="majorHAnsi" w:hAnsiTheme="majorHAnsi"/>
          <w:bCs/>
          <w:i/>
          <w:sz w:val="22"/>
          <w:szCs w:val="22"/>
          <w:lang w:val="fr-FR"/>
        </w:rPr>
        <w:t>la sécurité nationale ne peut servir de prétexte pour imposer des restrictions vagues ou arbitraires et elle ne peut être invoquée que lorsqu'il existe des garanties adéquates et des recours utiles contre les abus</w:t>
      </w:r>
      <w:r w:rsidR="00C0089A" w:rsidRPr="00F015DD">
        <w:rPr>
          <w:rFonts w:asciiTheme="majorHAnsi" w:hAnsiTheme="majorHAnsi" w:cs="Times New Roman"/>
          <w:i/>
          <w:sz w:val="22"/>
          <w:szCs w:val="22"/>
          <w:lang w:val="fr-FR"/>
        </w:rPr>
        <w:t>”</w:t>
      </w:r>
      <w:r w:rsidR="00C0089A" w:rsidRPr="00F015DD">
        <w:rPr>
          <w:rStyle w:val="FootnoteReference"/>
          <w:rFonts w:asciiTheme="majorHAnsi" w:hAnsiTheme="majorHAnsi" w:cs="Times New Roman"/>
          <w:i/>
          <w:sz w:val="22"/>
          <w:szCs w:val="22"/>
          <w:lang w:val="fr-FR"/>
        </w:rPr>
        <w:footnoteReference w:id="15"/>
      </w:r>
      <w:r w:rsidR="00C0089A" w:rsidRPr="00F015DD">
        <w:rPr>
          <w:rFonts w:asciiTheme="majorHAnsi" w:hAnsiTheme="majorHAnsi" w:cs="Times New Roman"/>
          <w:i/>
          <w:sz w:val="22"/>
          <w:szCs w:val="22"/>
          <w:lang w:val="fr-FR"/>
        </w:rPr>
        <w:t>.</w:t>
      </w:r>
      <w:r w:rsidR="00C0089A" w:rsidRPr="00F015DD">
        <w:rPr>
          <w:rFonts w:ascii="MS Mincho" w:eastAsia="MS Mincho" w:hAnsi="MS Mincho" w:cs="MS Mincho"/>
          <w:i/>
          <w:sz w:val="22"/>
          <w:szCs w:val="22"/>
          <w:lang w:val="fr-FR"/>
        </w:rPr>
        <w:t> </w:t>
      </w:r>
    </w:p>
    <w:p w14:paraId="3CCB1CF3" w14:textId="77777777" w:rsidR="00C0089A" w:rsidRPr="00F015DD" w:rsidRDefault="00C0089A" w:rsidP="002B7E5C">
      <w:pPr>
        <w:widowControl w:val="0"/>
        <w:autoSpaceDE w:val="0"/>
        <w:autoSpaceDN w:val="0"/>
        <w:adjustRightInd w:val="0"/>
        <w:jc w:val="both"/>
        <w:rPr>
          <w:rFonts w:asciiTheme="majorHAnsi" w:hAnsiTheme="majorHAnsi" w:cs="Times New Roman"/>
          <w:sz w:val="22"/>
          <w:szCs w:val="22"/>
          <w:lang w:val="fr-FR"/>
        </w:rPr>
      </w:pPr>
    </w:p>
    <w:p w14:paraId="5722719D" w14:textId="42F466B9" w:rsidR="00136F69" w:rsidRPr="00F015DD" w:rsidRDefault="001D003D" w:rsidP="00136F69">
      <w:pPr>
        <w:widowControl w:val="0"/>
        <w:autoSpaceDE w:val="0"/>
        <w:autoSpaceDN w:val="0"/>
        <w:adjustRightInd w:val="0"/>
        <w:spacing w:after="240"/>
        <w:jc w:val="both"/>
        <w:rPr>
          <w:rFonts w:asciiTheme="majorHAnsi" w:hAnsiTheme="majorHAnsi" w:cs="Times"/>
          <w:sz w:val="22"/>
          <w:szCs w:val="22"/>
          <w:lang w:val="fr-FR"/>
        </w:rPr>
      </w:pPr>
      <w:r w:rsidRPr="00F015DD">
        <w:rPr>
          <w:rFonts w:asciiTheme="majorHAnsi" w:hAnsiTheme="majorHAnsi" w:cs="Times New Roman"/>
          <w:b/>
          <w:sz w:val="22"/>
          <w:szCs w:val="22"/>
          <w:lang w:val="fr-FR"/>
        </w:rPr>
        <w:t>Deuxièmement</w:t>
      </w:r>
      <w:r w:rsidR="002B7E5C" w:rsidRPr="00F015DD">
        <w:rPr>
          <w:rFonts w:asciiTheme="majorHAnsi" w:hAnsiTheme="majorHAnsi" w:cs="Times New Roman"/>
          <w:b/>
          <w:sz w:val="22"/>
          <w:szCs w:val="22"/>
          <w:lang w:val="fr-FR"/>
        </w:rPr>
        <w:t>,</w:t>
      </w:r>
      <w:r w:rsidR="002B7E5C" w:rsidRPr="00F015DD">
        <w:rPr>
          <w:rFonts w:asciiTheme="majorHAnsi" w:hAnsiTheme="majorHAnsi" w:cs="Times New Roman"/>
          <w:sz w:val="22"/>
          <w:szCs w:val="22"/>
          <w:lang w:val="fr-FR"/>
        </w:rPr>
        <w:t xml:space="preserve"> </w:t>
      </w:r>
      <w:r w:rsidRPr="00F015DD">
        <w:rPr>
          <w:rFonts w:asciiTheme="majorHAnsi" w:hAnsiTheme="majorHAnsi" w:cs="Times New Roman"/>
          <w:sz w:val="22"/>
          <w:szCs w:val="22"/>
          <w:lang w:val="fr-FR"/>
        </w:rPr>
        <w:t xml:space="preserve">le CDH exige que l'Etat invoquant la sécurité nationale pour imposer des restrictions à la liberté d'expression " </w:t>
      </w:r>
      <w:r w:rsidRPr="00F015DD">
        <w:rPr>
          <w:rFonts w:asciiTheme="majorHAnsi" w:hAnsiTheme="majorHAnsi" w:cs="Times New Roman"/>
          <w:i/>
          <w:sz w:val="22"/>
          <w:szCs w:val="22"/>
          <w:lang w:val="fr-FR"/>
        </w:rPr>
        <w:t>prouve de manière spécifique et individualisée la nature exacte de la menace et la nécessité de la mesure prise ainsi que sa proportionnalité notamment en établissant un lien direct et immédiat entre l'expression et la menace</w:t>
      </w:r>
      <w:r w:rsidR="00F210A3" w:rsidRPr="00F015DD">
        <w:rPr>
          <w:rStyle w:val="FootnoteReference"/>
          <w:rFonts w:asciiTheme="majorHAnsi" w:hAnsiTheme="majorHAnsi" w:cs="Times New Roman"/>
          <w:i/>
          <w:sz w:val="22"/>
          <w:szCs w:val="22"/>
          <w:lang w:val="fr-FR"/>
        </w:rPr>
        <w:footnoteReference w:id="16"/>
      </w:r>
      <w:r w:rsidR="00136F69" w:rsidRPr="00F015DD">
        <w:rPr>
          <w:rFonts w:asciiTheme="majorHAnsi" w:hAnsiTheme="majorHAnsi" w:cs="Times New Roman"/>
          <w:i/>
          <w:sz w:val="22"/>
          <w:szCs w:val="22"/>
          <w:lang w:val="fr-FR"/>
        </w:rPr>
        <w:t>.</w:t>
      </w:r>
      <w:r w:rsidR="00536DFE" w:rsidRPr="00F015DD">
        <w:rPr>
          <w:rFonts w:asciiTheme="majorHAnsi" w:hAnsiTheme="majorHAnsi" w:cs="Times New Roman"/>
          <w:i/>
          <w:sz w:val="22"/>
          <w:szCs w:val="22"/>
          <w:lang w:val="fr-FR"/>
        </w:rPr>
        <w:t>”</w:t>
      </w:r>
      <w:r w:rsidR="00136F69" w:rsidRPr="00F015DD">
        <w:rPr>
          <w:rFonts w:asciiTheme="majorHAnsi" w:hAnsiTheme="majorHAnsi" w:cs="Times New Roman"/>
          <w:position w:val="10"/>
          <w:sz w:val="22"/>
          <w:szCs w:val="22"/>
          <w:lang w:val="fr-FR"/>
        </w:rPr>
        <w:t xml:space="preserve"> </w:t>
      </w:r>
    </w:p>
    <w:p w14:paraId="5F6D7DFB" w14:textId="05F1AB68" w:rsidR="00136F69" w:rsidRPr="00F015DD" w:rsidRDefault="001D003D" w:rsidP="00F210A3">
      <w:pPr>
        <w:widowControl w:val="0"/>
        <w:autoSpaceDE w:val="0"/>
        <w:autoSpaceDN w:val="0"/>
        <w:adjustRightInd w:val="0"/>
        <w:jc w:val="both"/>
        <w:rPr>
          <w:rFonts w:asciiTheme="majorHAnsi" w:hAnsiTheme="majorHAnsi" w:cs="Times New Roman"/>
          <w:sz w:val="22"/>
          <w:szCs w:val="22"/>
          <w:lang w:val="fr-FR"/>
        </w:rPr>
      </w:pPr>
      <w:r w:rsidRPr="00F015DD">
        <w:rPr>
          <w:rFonts w:asciiTheme="majorHAnsi" w:hAnsiTheme="majorHAnsi" w:cs="Times New Roman"/>
          <w:b/>
          <w:sz w:val="22"/>
          <w:szCs w:val="22"/>
          <w:lang w:val="fr-FR"/>
        </w:rPr>
        <w:t>Troisièmement</w:t>
      </w:r>
      <w:r w:rsidR="00536DFE" w:rsidRPr="00F015DD">
        <w:rPr>
          <w:rFonts w:asciiTheme="majorHAnsi" w:hAnsiTheme="majorHAnsi" w:cs="Times New Roman"/>
          <w:b/>
          <w:sz w:val="22"/>
          <w:szCs w:val="22"/>
          <w:lang w:val="fr-FR"/>
        </w:rPr>
        <w:t>,</w:t>
      </w:r>
      <w:r w:rsidR="00536DFE" w:rsidRPr="00F015DD">
        <w:rPr>
          <w:rFonts w:asciiTheme="majorHAnsi" w:hAnsiTheme="majorHAnsi" w:cs="Times New Roman"/>
          <w:sz w:val="22"/>
          <w:szCs w:val="22"/>
          <w:lang w:val="fr-FR"/>
        </w:rPr>
        <w:t xml:space="preserve"> </w:t>
      </w:r>
      <w:r w:rsidRPr="00F015DD">
        <w:rPr>
          <w:rFonts w:asciiTheme="majorHAnsi" w:hAnsiTheme="majorHAnsi" w:cs="Times New Roman"/>
          <w:sz w:val="22"/>
          <w:szCs w:val="22"/>
          <w:lang w:val="fr-FR"/>
        </w:rPr>
        <w:t xml:space="preserve">le CDH met en garde contre les risques d'abuser de la sécurité nationale: </w:t>
      </w:r>
      <w:r w:rsidR="00536DFE" w:rsidRPr="00F015DD">
        <w:rPr>
          <w:rFonts w:asciiTheme="majorHAnsi" w:hAnsiTheme="majorHAnsi" w:cs="Times New Roman"/>
          <w:i/>
          <w:sz w:val="22"/>
          <w:szCs w:val="22"/>
          <w:lang w:val="fr-FR"/>
        </w:rPr>
        <w:t>“</w:t>
      </w:r>
      <w:r w:rsidRPr="00F015DD">
        <w:rPr>
          <w:rFonts w:asciiTheme="majorHAnsi" w:hAnsiTheme="majorHAnsi" w:cs="Times New Roman"/>
          <w:i/>
          <w:sz w:val="22"/>
          <w:szCs w:val="22"/>
          <w:lang w:val="fr-FR"/>
        </w:rPr>
        <w:t xml:space="preserve">Il est normalement incompatible avec le paragraphe 3 de limiter la liberté des journalistes et autres personnes cherchant à exercer leur liberté d'expression </w:t>
      </w:r>
      <w:r w:rsidR="00136F69" w:rsidRPr="00F015DD">
        <w:rPr>
          <w:rFonts w:asciiTheme="majorHAnsi" w:hAnsiTheme="majorHAnsi" w:cs="Times New Roman"/>
          <w:i/>
          <w:sz w:val="22"/>
          <w:szCs w:val="22"/>
          <w:lang w:val="fr-FR"/>
        </w:rPr>
        <w:t>(</w:t>
      </w:r>
      <w:r w:rsidRPr="00F015DD">
        <w:rPr>
          <w:rFonts w:asciiTheme="majorHAnsi" w:hAnsiTheme="majorHAnsi" w:cs="Times New Roman"/>
          <w:i/>
          <w:sz w:val="22"/>
          <w:szCs w:val="22"/>
          <w:lang w:val="fr-FR"/>
        </w:rPr>
        <w:t>telles que les personnes qui veulent se déplacer pour assister à des réunions consacrées aux droits de l'homme</w:t>
      </w:r>
      <w:r w:rsidR="00136F69" w:rsidRPr="00F015DD">
        <w:rPr>
          <w:rFonts w:asciiTheme="majorHAnsi" w:hAnsiTheme="majorHAnsi" w:cs="Times New Roman"/>
          <w:i/>
          <w:sz w:val="22"/>
          <w:szCs w:val="22"/>
          <w:lang w:val="fr-FR"/>
        </w:rPr>
        <w:t>)</w:t>
      </w:r>
      <w:r w:rsidR="00136F69" w:rsidRPr="00F015DD">
        <w:rPr>
          <w:rFonts w:asciiTheme="majorHAnsi" w:hAnsiTheme="majorHAnsi" w:cs="Times New Roman"/>
          <w:i/>
          <w:position w:val="13"/>
          <w:sz w:val="22"/>
          <w:szCs w:val="22"/>
          <w:lang w:val="fr-FR"/>
        </w:rPr>
        <w:t xml:space="preserve"> </w:t>
      </w:r>
      <w:r w:rsidRPr="00F015DD">
        <w:rPr>
          <w:rFonts w:asciiTheme="majorHAnsi" w:hAnsiTheme="majorHAnsi" w:cs="Times New Roman"/>
          <w:i/>
          <w:sz w:val="22"/>
          <w:szCs w:val="22"/>
          <w:lang w:val="fr-FR"/>
        </w:rPr>
        <w:t xml:space="preserve">à voyager en dehors de l'Etat </w:t>
      </w:r>
      <w:r w:rsidR="00136F69" w:rsidRPr="00F015DD">
        <w:rPr>
          <w:rFonts w:asciiTheme="majorHAnsi" w:hAnsiTheme="majorHAnsi" w:cs="Times New Roman"/>
          <w:i/>
          <w:sz w:val="22"/>
          <w:szCs w:val="22"/>
          <w:lang w:val="fr-FR"/>
        </w:rPr>
        <w:t xml:space="preserve"> </w:t>
      </w:r>
      <w:r w:rsidRPr="00F015DD">
        <w:rPr>
          <w:rFonts w:asciiTheme="majorHAnsi" w:hAnsiTheme="majorHAnsi" w:cs="Times New Roman"/>
          <w:i/>
          <w:sz w:val="22"/>
          <w:szCs w:val="22"/>
          <w:lang w:val="fr-FR"/>
        </w:rPr>
        <w:t>partie, de limiter l'entrée des journalistes étrangers à l'Etat partie aux ressortissants de pays spécifiés ou de restreindre la liberté de mouvement des journalistes et enquêteurs des droits de l'homme dans l'Etat partie (y compris vers les régions touchées par les conflits, les sites de catastrophes naturelles et les lieux dans lesquels il existe des allégations d'atteinte aux droits de l'homme</w:t>
      </w:r>
      <w:r w:rsidR="00136F69" w:rsidRPr="00F015DD">
        <w:rPr>
          <w:rFonts w:asciiTheme="majorHAnsi" w:hAnsiTheme="majorHAnsi" w:cs="Times New Roman"/>
          <w:i/>
          <w:sz w:val="22"/>
          <w:szCs w:val="22"/>
          <w:lang w:val="fr-FR"/>
        </w:rPr>
        <w:t>).</w:t>
      </w:r>
      <w:r w:rsidRPr="00F015DD">
        <w:rPr>
          <w:rFonts w:asciiTheme="majorHAnsi" w:hAnsiTheme="majorHAnsi" w:cs="Times New Roman"/>
          <w:i/>
          <w:sz w:val="22"/>
          <w:szCs w:val="22"/>
          <w:lang w:val="fr-FR"/>
        </w:rPr>
        <w:t xml:space="preserve">Les Etats parties devraient reconnaitre et respecter le privilège dont jouissent les journalistes et qui fait partie de leur droit de liberté d'expression </w:t>
      </w:r>
      <w:r w:rsidR="00C46469" w:rsidRPr="00F015DD">
        <w:rPr>
          <w:rFonts w:asciiTheme="majorHAnsi" w:hAnsiTheme="majorHAnsi" w:cs="Times New Roman"/>
          <w:i/>
          <w:sz w:val="22"/>
          <w:szCs w:val="22"/>
          <w:lang w:val="fr-FR"/>
        </w:rPr>
        <w:t>consistant</w:t>
      </w:r>
      <w:r w:rsidRPr="00F015DD">
        <w:rPr>
          <w:rFonts w:asciiTheme="majorHAnsi" w:hAnsiTheme="majorHAnsi" w:cs="Times New Roman"/>
          <w:i/>
          <w:sz w:val="22"/>
          <w:szCs w:val="22"/>
          <w:lang w:val="fr-FR"/>
        </w:rPr>
        <w:t xml:space="preserve"> à ne pas divulg</w:t>
      </w:r>
      <w:r w:rsidR="00C46469" w:rsidRPr="00F015DD">
        <w:rPr>
          <w:rFonts w:asciiTheme="majorHAnsi" w:hAnsiTheme="majorHAnsi" w:cs="Times New Roman"/>
          <w:i/>
          <w:sz w:val="22"/>
          <w:szCs w:val="22"/>
          <w:lang w:val="fr-FR"/>
        </w:rPr>
        <w:t>uer leurs sources d'information</w:t>
      </w:r>
      <w:r w:rsidR="00F210A3" w:rsidRPr="00F015DD">
        <w:rPr>
          <w:rStyle w:val="FootnoteReference"/>
          <w:rFonts w:asciiTheme="majorHAnsi" w:hAnsiTheme="majorHAnsi" w:cs="Times New Roman"/>
          <w:i/>
          <w:sz w:val="22"/>
          <w:szCs w:val="22"/>
          <w:lang w:val="fr-FR"/>
        </w:rPr>
        <w:footnoteReference w:id="17"/>
      </w:r>
      <w:r w:rsidR="00136F69" w:rsidRPr="00F015DD">
        <w:rPr>
          <w:rFonts w:asciiTheme="majorHAnsi" w:hAnsiTheme="majorHAnsi" w:cs="Times New Roman"/>
          <w:i/>
          <w:sz w:val="22"/>
          <w:szCs w:val="22"/>
          <w:lang w:val="fr-FR"/>
        </w:rPr>
        <w:t>.</w:t>
      </w:r>
      <w:r w:rsidR="00536DFE" w:rsidRPr="00F015DD">
        <w:rPr>
          <w:rFonts w:asciiTheme="majorHAnsi" w:hAnsiTheme="majorHAnsi" w:cs="Times New Roman"/>
          <w:i/>
          <w:sz w:val="22"/>
          <w:szCs w:val="22"/>
          <w:lang w:val="fr-FR"/>
        </w:rPr>
        <w:t>”</w:t>
      </w:r>
      <w:r w:rsidR="00136F69" w:rsidRPr="00F015DD">
        <w:rPr>
          <w:rFonts w:asciiTheme="majorHAnsi" w:hAnsiTheme="majorHAnsi" w:cs="Times New Roman"/>
          <w:i/>
          <w:position w:val="10"/>
          <w:sz w:val="22"/>
          <w:szCs w:val="22"/>
          <w:lang w:val="fr-FR"/>
        </w:rPr>
        <w:t xml:space="preserve"> </w:t>
      </w:r>
    </w:p>
    <w:p w14:paraId="53CE4452" w14:textId="77777777" w:rsidR="00F210A3" w:rsidRPr="00F015DD" w:rsidRDefault="00F210A3" w:rsidP="00F210A3">
      <w:pPr>
        <w:widowControl w:val="0"/>
        <w:autoSpaceDE w:val="0"/>
        <w:autoSpaceDN w:val="0"/>
        <w:adjustRightInd w:val="0"/>
        <w:jc w:val="both"/>
        <w:rPr>
          <w:rFonts w:asciiTheme="majorHAnsi" w:hAnsiTheme="majorHAnsi" w:cs="Times New Roman"/>
          <w:b/>
          <w:sz w:val="22"/>
          <w:szCs w:val="22"/>
          <w:lang w:val="fr-FR"/>
        </w:rPr>
      </w:pPr>
    </w:p>
    <w:p w14:paraId="0421203F" w14:textId="0F5DEA77" w:rsidR="002321CE" w:rsidRPr="00F015DD" w:rsidRDefault="001D003D" w:rsidP="00F210A3">
      <w:pPr>
        <w:widowControl w:val="0"/>
        <w:autoSpaceDE w:val="0"/>
        <w:autoSpaceDN w:val="0"/>
        <w:adjustRightInd w:val="0"/>
        <w:jc w:val="both"/>
        <w:rPr>
          <w:rFonts w:asciiTheme="majorHAnsi" w:hAnsiTheme="majorHAnsi" w:cs="Times New Roman"/>
          <w:i/>
          <w:sz w:val="22"/>
          <w:szCs w:val="22"/>
          <w:lang w:val="fr-FR"/>
        </w:rPr>
      </w:pPr>
      <w:r w:rsidRPr="00F015DD">
        <w:rPr>
          <w:rFonts w:asciiTheme="majorHAnsi" w:hAnsiTheme="majorHAnsi" w:cs="Times New Roman"/>
          <w:b/>
          <w:sz w:val="22"/>
          <w:szCs w:val="22"/>
          <w:lang w:val="fr-FR"/>
        </w:rPr>
        <w:t>Quatrièmement</w:t>
      </w:r>
      <w:r w:rsidR="00536DFE" w:rsidRPr="00F015DD">
        <w:rPr>
          <w:rFonts w:asciiTheme="majorHAnsi" w:hAnsiTheme="majorHAnsi" w:cs="Times New Roman"/>
          <w:b/>
          <w:sz w:val="22"/>
          <w:szCs w:val="22"/>
          <w:lang w:val="fr-FR"/>
        </w:rPr>
        <w:t>,</w:t>
      </w:r>
      <w:r w:rsidR="00536DFE" w:rsidRPr="00F015DD">
        <w:rPr>
          <w:rFonts w:asciiTheme="majorHAnsi" w:hAnsiTheme="majorHAnsi" w:cs="Times New Roman"/>
          <w:sz w:val="22"/>
          <w:szCs w:val="22"/>
          <w:lang w:val="fr-FR"/>
        </w:rPr>
        <w:t xml:space="preserve"> </w:t>
      </w:r>
      <w:r w:rsidRPr="00F015DD">
        <w:rPr>
          <w:rFonts w:asciiTheme="majorHAnsi" w:hAnsiTheme="majorHAnsi" w:cs="Times New Roman"/>
          <w:sz w:val="22"/>
          <w:szCs w:val="22"/>
          <w:lang w:val="fr-FR"/>
        </w:rPr>
        <w:t>le CDH a examiné  le degré auquel le terrorisme et la lutte contre le terrorisme peuvent constituer des motifs légitimes à la restriction de la liberté d'expression, et a conclu que</w:t>
      </w:r>
      <w:r w:rsidR="00E22777" w:rsidRPr="00F015DD">
        <w:rPr>
          <w:rFonts w:asciiTheme="majorHAnsi" w:hAnsiTheme="majorHAnsi" w:cs="Times New Roman"/>
          <w:sz w:val="22"/>
          <w:szCs w:val="22"/>
          <w:lang w:val="fr-FR"/>
        </w:rPr>
        <w:t xml:space="preserve">: </w:t>
      </w:r>
      <w:r w:rsidR="00E22777" w:rsidRPr="00F015DD">
        <w:rPr>
          <w:rFonts w:asciiTheme="majorHAnsi" w:hAnsiTheme="majorHAnsi" w:cs="Times New Roman"/>
          <w:i/>
          <w:sz w:val="22"/>
          <w:szCs w:val="22"/>
          <w:lang w:val="fr-FR"/>
        </w:rPr>
        <w:t>“</w:t>
      </w:r>
      <w:r w:rsidRPr="00F015DD">
        <w:rPr>
          <w:rFonts w:asciiTheme="majorHAnsi" w:hAnsiTheme="majorHAnsi" w:cs="Times New Roman"/>
          <w:i/>
          <w:sz w:val="22"/>
          <w:szCs w:val="22"/>
          <w:lang w:val="fr-FR"/>
        </w:rPr>
        <w:t>Les infractions telles que "l'encouragement du terrorisme" et "l'</w:t>
      </w:r>
      <w:proofErr w:type="spellStart"/>
      <w:r w:rsidRPr="00F015DD">
        <w:rPr>
          <w:rFonts w:asciiTheme="majorHAnsi" w:hAnsiTheme="majorHAnsi" w:cs="Times New Roman"/>
          <w:i/>
          <w:sz w:val="22"/>
          <w:szCs w:val="22"/>
          <w:lang w:val="fr-FR"/>
        </w:rPr>
        <w:t>actvité</w:t>
      </w:r>
      <w:proofErr w:type="spellEnd"/>
      <w:r w:rsidRPr="00F015DD">
        <w:rPr>
          <w:rFonts w:asciiTheme="majorHAnsi" w:hAnsiTheme="majorHAnsi" w:cs="Times New Roman"/>
          <w:i/>
          <w:sz w:val="22"/>
          <w:szCs w:val="22"/>
          <w:lang w:val="fr-FR"/>
        </w:rPr>
        <w:t xml:space="preserve"> extrémiste" </w:t>
      </w:r>
      <w:r w:rsidR="00C46469" w:rsidRPr="00F015DD">
        <w:rPr>
          <w:rFonts w:asciiTheme="majorHAnsi" w:hAnsiTheme="majorHAnsi" w:cs="Times New Roman"/>
          <w:i/>
          <w:sz w:val="22"/>
          <w:szCs w:val="22"/>
          <w:lang w:val="fr-FR"/>
        </w:rPr>
        <w:t>ainsi que les infractions telle</w:t>
      </w:r>
      <w:r w:rsidRPr="00F015DD">
        <w:rPr>
          <w:rFonts w:asciiTheme="majorHAnsi" w:hAnsiTheme="majorHAnsi" w:cs="Times New Roman"/>
          <w:i/>
          <w:sz w:val="22"/>
          <w:szCs w:val="22"/>
          <w:lang w:val="fr-FR"/>
        </w:rPr>
        <w:t>s que "l'éloge"</w:t>
      </w:r>
      <w:r w:rsidR="00136F69" w:rsidRPr="00F015DD">
        <w:rPr>
          <w:rFonts w:asciiTheme="majorHAnsi" w:hAnsiTheme="majorHAnsi" w:cs="Times New Roman"/>
          <w:i/>
          <w:sz w:val="22"/>
          <w:szCs w:val="22"/>
          <w:lang w:val="fr-FR"/>
        </w:rPr>
        <w:t>, “</w:t>
      </w:r>
      <w:r w:rsidRPr="00F015DD">
        <w:rPr>
          <w:rFonts w:asciiTheme="majorHAnsi" w:hAnsiTheme="majorHAnsi" w:cs="Times New Roman"/>
          <w:i/>
          <w:sz w:val="22"/>
          <w:szCs w:val="22"/>
          <w:lang w:val="fr-FR"/>
        </w:rPr>
        <w:t>la glorification</w:t>
      </w:r>
      <w:r w:rsidR="00136F69" w:rsidRPr="00F015DD">
        <w:rPr>
          <w:rFonts w:asciiTheme="majorHAnsi" w:hAnsiTheme="majorHAnsi" w:cs="Times New Roman"/>
          <w:i/>
          <w:sz w:val="22"/>
          <w:szCs w:val="22"/>
          <w:lang w:val="fr-FR"/>
        </w:rPr>
        <w:t xml:space="preserve">”, </w:t>
      </w:r>
      <w:r w:rsidRPr="00F015DD">
        <w:rPr>
          <w:rFonts w:asciiTheme="majorHAnsi" w:hAnsiTheme="majorHAnsi" w:cs="Times New Roman"/>
          <w:i/>
          <w:sz w:val="22"/>
          <w:szCs w:val="22"/>
          <w:lang w:val="fr-FR"/>
        </w:rPr>
        <w:t>ou</w:t>
      </w:r>
      <w:r w:rsidR="00136F69" w:rsidRPr="00F015DD">
        <w:rPr>
          <w:rFonts w:asciiTheme="majorHAnsi" w:hAnsiTheme="majorHAnsi" w:cs="Times New Roman"/>
          <w:i/>
          <w:sz w:val="22"/>
          <w:szCs w:val="22"/>
          <w:lang w:val="fr-FR"/>
        </w:rPr>
        <w:t xml:space="preserve"> “</w:t>
      </w:r>
      <w:r w:rsidRPr="00F015DD">
        <w:rPr>
          <w:rFonts w:asciiTheme="majorHAnsi" w:hAnsiTheme="majorHAnsi" w:cs="Times New Roman"/>
          <w:i/>
          <w:sz w:val="22"/>
          <w:szCs w:val="22"/>
          <w:lang w:val="fr-FR"/>
        </w:rPr>
        <w:t>la justification</w:t>
      </w:r>
      <w:r w:rsidR="00136F69" w:rsidRPr="00F015DD">
        <w:rPr>
          <w:rFonts w:asciiTheme="majorHAnsi" w:hAnsiTheme="majorHAnsi" w:cs="Times New Roman"/>
          <w:i/>
          <w:sz w:val="22"/>
          <w:szCs w:val="22"/>
          <w:lang w:val="fr-FR"/>
        </w:rPr>
        <w:t>”</w:t>
      </w:r>
      <w:r w:rsidRPr="00F015DD">
        <w:rPr>
          <w:rFonts w:asciiTheme="majorHAnsi" w:hAnsiTheme="majorHAnsi" w:cs="Times New Roman"/>
          <w:i/>
          <w:sz w:val="22"/>
          <w:szCs w:val="22"/>
          <w:lang w:val="fr-FR"/>
        </w:rPr>
        <w:t xml:space="preserve"> du terrorisme</w:t>
      </w:r>
      <w:r w:rsidR="00136F69" w:rsidRPr="00F015DD">
        <w:rPr>
          <w:rFonts w:asciiTheme="majorHAnsi" w:hAnsiTheme="majorHAnsi" w:cs="Times New Roman"/>
          <w:sz w:val="22"/>
          <w:szCs w:val="22"/>
          <w:lang w:val="fr-FR"/>
        </w:rPr>
        <w:t xml:space="preserve">, </w:t>
      </w:r>
      <w:r w:rsidRPr="00F015DD">
        <w:rPr>
          <w:rFonts w:asciiTheme="majorHAnsi" w:hAnsiTheme="majorHAnsi"/>
          <w:i/>
          <w:sz w:val="22"/>
          <w:szCs w:val="22"/>
          <w:lang w:val="fr-FR"/>
        </w:rPr>
        <w:t>devraient être définies avec précision de façon à garantir qu’il n’en résulte pas une interférence injustifiée ou disproportionnée avec la liberté d’expression. Les restrictions excessives à l’accès à l’information doivent aussi être évitées. Les médias jouent un rôle crucial en informant le public sur les actes de terrorisme, et leur capacité d’action ne devrait pas être indûment limitée. À cet égard, les journalistes ne doivent pas être pénalisés pour avoir</w:t>
      </w:r>
      <w:r w:rsidR="00851E0C" w:rsidRPr="00F015DD">
        <w:rPr>
          <w:rFonts w:asciiTheme="majorHAnsi" w:hAnsiTheme="majorHAnsi"/>
          <w:i/>
          <w:sz w:val="22"/>
          <w:szCs w:val="22"/>
          <w:lang w:val="fr-FR"/>
        </w:rPr>
        <w:t xml:space="preserve"> mené leurs activités </w:t>
      </w:r>
      <w:r w:rsidR="00C46469" w:rsidRPr="00F015DD">
        <w:rPr>
          <w:rFonts w:asciiTheme="majorHAnsi" w:hAnsiTheme="majorHAnsi"/>
          <w:i/>
          <w:sz w:val="22"/>
          <w:szCs w:val="22"/>
          <w:lang w:val="fr-FR"/>
        </w:rPr>
        <w:t>légitimes</w:t>
      </w:r>
      <w:r w:rsidR="00C46469" w:rsidRPr="00F015DD">
        <w:rPr>
          <w:rFonts w:asciiTheme="majorHAnsi" w:hAnsiTheme="majorHAnsi" w:cs="Times New Roman"/>
          <w:i/>
          <w:sz w:val="22"/>
          <w:szCs w:val="22"/>
          <w:lang w:val="fr-FR"/>
        </w:rPr>
        <w:t>.</w:t>
      </w:r>
      <w:r w:rsidR="00F210A3" w:rsidRPr="00F015DD">
        <w:rPr>
          <w:rStyle w:val="FootnoteReference"/>
          <w:rFonts w:asciiTheme="majorHAnsi" w:hAnsiTheme="majorHAnsi" w:cs="Times New Roman"/>
          <w:i/>
          <w:sz w:val="22"/>
          <w:szCs w:val="22"/>
          <w:lang w:val="fr-FR"/>
        </w:rPr>
        <w:footnoteReference w:id="18"/>
      </w:r>
      <w:r w:rsidR="00C46469" w:rsidRPr="00F015DD">
        <w:rPr>
          <w:rFonts w:asciiTheme="majorHAnsi" w:hAnsiTheme="majorHAnsi" w:cs="Times New Roman"/>
          <w:i/>
          <w:sz w:val="22"/>
          <w:szCs w:val="22"/>
          <w:lang w:val="fr-FR"/>
        </w:rPr>
        <w:t xml:space="preserve"> “</w:t>
      </w:r>
      <w:r w:rsidR="0038014C" w:rsidRPr="00F015DD">
        <w:rPr>
          <w:rFonts w:asciiTheme="majorHAnsi" w:hAnsiTheme="majorHAnsi" w:cs="Times"/>
          <w:i/>
          <w:sz w:val="22"/>
          <w:szCs w:val="22"/>
          <w:lang w:val="fr-FR"/>
        </w:rPr>
        <w:t xml:space="preserve"> </w:t>
      </w:r>
    </w:p>
    <w:p w14:paraId="13F8792A" w14:textId="77777777" w:rsidR="00F210A3" w:rsidRPr="00F015DD" w:rsidRDefault="00F210A3" w:rsidP="00B17125">
      <w:pPr>
        <w:rPr>
          <w:rFonts w:asciiTheme="majorHAnsi" w:hAnsiTheme="majorHAnsi"/>
          <w:b/>
          <w:color w:val="000000"/>
          <w:sz w:val="22"/>
          <w:szCs w:val="22"/>
          <w:lang w:val="fr-FR"/>
        </w:rPr>
      </w:pPr>
    </w:p>
    <w:p w14:paraId="05DEBC93" w14:textId="77777777" w:rsidR="00B17125" w:rsidRPr="00F015DD" w:rsidRDefault="00842C0D" w:rsidP="00B17125">
      <w:pPr>
        <w:rPr>
          <w:rFonts w:asciiTheme="majorHAnsi" w:hAnsiTheme="majorHAnsi"/>
          <w:b/>
          <w:color w:val="000000"/>
          <w:sz w:val="22"/>
          <w:szCs w:val="22"/>
          <w:u w:val="single"/>
          <w:lang w:val="fr-FR"/>
        </w:rPr>
      </w:pPr>
      <w:r w:rsidRPr="00F015DD">
        <w:rPr>
          <w:rFonts w:asciiTheme="majorHAnsi" w:hAnsiTheme="majorHAnsi"/>
          <w:b/>
          <w:color w:val="000000"/>
          <w:sz w:val="22"/>
          <w:szCs w:val="22"/>
          <w:lang w:val="fr-FR"/>
        </w:rPr>
        <w:t xml:space="preserve">I.2.2 </w:t>
      </w:r>
      <w:r w:rsidR="00B17125" w:rsidRPr="00F015DD">
        <w:rPr>
          <w:rFonts w:asciiTheme="majorHAnsi" w:hAnsiTheme="majorHAnsi"/>
          <w:b/>
          <w:color w:val="000000"/>
          <w:sz w:val="22"/>
          <w:szCs w:val="22"/>
          <w:lang w:val="fr-FR"/>
        </w:rPr>
        <w:t>Article 20</w:t>
      </w:r>
      <w:r w:rsidR="009C57C2" w:rsidRPr="00F015DD">
        <w:rPr>
          <w:rFonts w:asciiTheme="majorHAnsi" w:hAnsiTheme="majorHAnsi"/>
          <w:b/>
          <w:color w:val="000000"/>
          <w:sz w:val="22"/>
          <w:szCs w:val="22"/>
          <w:lang w:val="fr-FR"/>
        </w:rPr>
        <w:t>, ICCPE</w:t>
      </w:r>
    </w:p>
    <w:p w14:paraId="4CF502E8" w14:textId="77777777" w:rsidR="00B17125" w:rsidRPr="00F015DD" w:rsidRDefault="00B17125" w:rsidP="00B17125">
      <w:pPr>
        <w:rPr>
          <w:rFonts w:asciiTheme="majorHAnsi" w:hAnsiTheme="majorHAnsi"/>
          <w:color w:val="000000"/>
          <w:sz w:val="22"/>
          <w:szCs w:val="22"/>
          <w:lang w:val="fr-FR"/>
        </w:rPr>
      </w:pPr>
    </w:p>
    <w:p w14:paraId="4CFC8B3F" w14:textId="768A2EDD" w:rsidR="00B17125" w:rsidRPr="00F015DD" w:rsidRDefault="001D003D" w:rsidP="00F210A3">
      <w:pPr>
        <w:rPr>
          <w:rFonts w:asciiTheme="majorHAnsi" w:hAnsiTheme="majorHAnsi"/>
          <w:color w:val="000000"/>
          <w:sz w:val="22"/>
          <w:szCs w:val="22"/>
          <w:lang w:val="fr-FR"/>
        </w:rPr>
      </w:pPr>
      <w:r w:rsidRPr="00F015DD">
        <w:rPr>
          <w:rFonts w:asciiTheme="majorHAnsi" w:hAnsiTheme="majorHAnsi"/>
          <w:color w:val="000000"/>
          <w:sz w:val="22"/>
          <w:szCs w:val="22"/>
          <w:lang w:val="fr-FR"/>
        </w:rPr>
        <w:t>L'a</w:t>
      </w:r>
      <w:r w:rsidR="00B17125" w:rsidRPr="00F015DD">
        <w:rPr>
          <w:rFonts w:asciiTheme="majorHAnsi" w:hAnsiTheme="majorHAnsi"/>
          <w:color w:val="000000"/>
          <w:sz w:val="22"/>
          <w:szCs w:val="22"/>
          <w:lang w:val="fr-FR"/>
        </w:rPr>
        <w:t xml:space="preserve">rticle 19 </w:t>
      </w:r>
      <w:r w:rsidRPr="00F015DD">
        <w:rPr>
          <w:rFonts w:asciiTheme="majorHAnsi" w:hAnsiTheme="majorHAnsi"/>
          <w:color w:val="000000"/>
          <w:sz w:val="22"/>
          <w:szCs w:val="22"/>
          <w:lang w:val="fr-FR"/>
        </w:rPr>
        <w:t>permet aux Etats parties de restreindre la liberté d'expression (dans les conditions mentionné</w:t>
      </w:r>
      <w:r w:rsidR="00C46469" w:rsidRPr="00F015DD">
        <w:rPr>
          <w:rFonts w:asciiTheme="majorHAnsi" w:hAnsiTheme="majorHAnsi"/>
          <w:color w:val="000000"/>
          <w:sz w:val="22"/>
          <w:szCs w:val="22"/>
          <w:lang w:val="fr-FR"/>
        </w:rPr>
        <w:t>e</w:t>
      </w:r>
      <w:r w:rsidRPr="00F015DD">
        <w:rPr>
          <w:rFonts w:asciiTheme="majorHAnsi" w:hAnsiTheme="majorHAnsi"/>
          <w:color w:val="000000"/>
          <w:sz w:val="22"/>
          <w:szCs w:val="22"/>
          <w:lang w:val="fr-FR"/>
        </w:rPr>
        <w:t>s ci-dessus) mais ne les oblige pas à faire de la sorte. L'article 20, par contre, interdit certaines formes d'expression</w:t>
      </w:r>
      <w:r w:rsidR="00B17125" w:rsidRPr="00F015DD">
        <w:rPr>
          <w:rFonts w:asciiTheme="majorHAnsi" w:hAnsiTheme="majorHAnsi"/>
          <w:color w:val="000000"/>
          <w:sz w:val="22"/>
          <w:szCs w:val="22"/>
          <w:lang w:val="fr-FR"/>
        </w:rPr>
        <w:t xml:space="preserve">. </w:t>
      </w:r>
      <w:r w:rsidRPr="00F015DD">
        <w:rPr>
          <w:rFonts w:asciiTheme="majorHAnsi" w:hAnsiTheme="majorHAnsi"/>
          <w:color w:val="000000"/>
          <w:sz w:val="22"/>
          <w:szCs w:val="22"/>
          <w:lang w:val="fr-FR"/>
        </w:rPr>
        <w:t>Cet article exige des gouvernements d'interdire par la loi</w:t>
      </w:r>
      <w:r w:rsidR="00F210A3" w:rsidRPr="00F015DD">
        <w:rPr>
          <w:rFonts w:asciiTheme="majorHAnsi" w:hAnsiTheme="majorHAnsi"/>
          <w:color w:val="000000"/>
          <w:sz w:val="22"/>
          <w:szCs w:val="22"/>
          <w:lang w:val="fr-FR"/>
        </w:rPr>
        <w:t xml:space="preserve"> « </w:t>
      </w:r>
      <w:r w:rsidRPr="00F015DD">
        <w:rPr>
          <w:rFonts w:asciiTheme="majorHAnsi" w:hAnsiTheme="majorHAnsi" w:cs="Verdana"/>
          <w:i/>
          <w:sz w:val="22"/>
          <w:szCs w:val="22"/>
          <w:lang w:val="fr-FR"/>
        </w:rPr>
        <w:t xml:space="preserve">Tout </w:t>
      </w:r>
      <w:r w:rsidRPr="00F015DD">
        <w:rPr>
          <w:rFonts w:asciiTheme="majorHAnsi" w:hAnsiTheme="majorHAnsi" w:cs="Verdana"/>
          <w:i/>
          <w:sz w:val="22"/>
          <w:szCs w:val="22"/>
          <w:lang w:val="fr-FR"/>
        </w:rPr>
        <w:lastRenderedPageBreak/>
        <w:t>appel à la haine nationale, raciale ou religieuse qui constitue une incitation à la discrimination, à l'hostilité ou à la violence</w:t>
      </w:r>
      <w:r w:rsidR="00F210A3" w:rsidRPr="00F015DD">
        <w:rPr>
          <w:rFonts w:asciiTheme="majorHAnsi" w:hAnsiTheme="majorHAnsi"/>
          <w:i/>
          <w:color w:val="000000"/>
          <w:sz w:val="22"/>
          <w:szCs w:val="22"/>
          <w:lang w:val="fr-FR"/>
        </w:rPr>
        <w:t>. « </w:t>
      </w:r>
      <w:r w:rsidR="00B17125" w:rsidRPr="00F015DD">
        <w:rPr>
          <w:rFonts w:asciiTheme="majorHAnsi" w:hAnsiTheme="majorHAnsi"/>
          <w:i/>
          <w:color w:val="000000"/>
          <w:sz w:val="22"/>
          <w:szCs w:val="22"/>
          <w:lang w:val="fr-FR"/>
        </w:rPr>
        <w:t xml:space="preserve"> </w:t>
      </w:r>
    </w:p>
    <w:p w14:paraId="0F76DCD6" w14:textId="77777777" w:rsidR="002F0AFF" w:rsidRPr="00F015DD" w:rsidRDefault="002F0AFF" w:rsidP="002F0AFF">
      <w:pPr>
        <w:widowControl w:val="0"/>
        <w:autoSpaceDE w:val="0"/>
        <w:autoSpaceDN w:val="0"/>
        <w:adjustRightInd w:val="0"/>
        <w:spacing w:after="240"/>
        <w:jc w:val="both"/>
        <w:rPr>
          <w:rFonts w:asciiTheme="majorHAnsi" w:hAnsiTheme="majorHAnsi"/>
          <w:b/>
          <w:i/>
          <w:sz w:val="22"/>
          <w:szCs w:val="22"/>
          <w:lang w:val="fr-FR"/>
        </w:rPr>
      </w:pPr>
    </w:p>
    <w:p w14:paraId="5E02B543" w14:textId="77777777" w:rsidR="002F0AFF" w:rsidRPr="00F015DD" w:rsidRDefault="002F0AFF" w:rsidP="002F0AFF">
      <w:pPr>
        <w:widowControl w:val="0"/>
        <w:autoSpaceDE w:val="0"/>
        <w:autoSpaceDN w:val="0"/>
        <w:adjustRightInd w:val="0"/>
        <w:spacing w:after="240"/>
        <w:jc w:val="both"/>
        <w:rPr>
          <w:rFonts w:asciiTheme="majorHAnsi" w:hAnsiTheme="majorHAnsi"/>
          <w:b/>
          <w:i/>
          <w:sz w:val="22"/>
          <w:szCs w:val="22"/>
          <w:lang w:val="fr-FR"/>
        </w:rPr>
      </w:pPr>
      <w:r w:rsidRPr="00F015DD">
        <w:rPr>
          <w:rFonts w:asciiTheme="majorHAnsi" w:hAnsiTheme="majorHAnsi"/>
          <w:b/>
          <w:i/>
          <w:sz w:val="22"/>
          <w:szCs w:val="22"/>
          <w:lang w:val="fr-FR"/>
        </w:rPr>
        <w:t>Compatibili</w:t>
      </w:r>
      <w:r w:rsidR="001D003D" w:rsidRPr="00F015DD">
        <w:rPr>
          <w:rFonts w:asciiTheme="majorHAnsi" w:hAnsiTheme="majorHAnsi"/>
          <w:b/>
          <w:i/>
          <w:sz w:val="22"/>
          <w:szCs w:val="22"/>
          <w:lang w:val="fr-FR"/>
        </w:rPr>
        <w:t xml:space="preserve">té des articles 19 et 20 </w:t>
      </w:r>
      <w:r w:rsidRPr="00F015DD">
        <w:rPr>
          <w:rFonts w:asciiTheme="majorHAnsi" w:hAnsiTheme="majorHAnsi"/>
          <w:b/>
          <w:i/>
          <w:sz w:val="22"/>
          <w:szCs w:val="22"/>
          <w:lang w:val="fr-FR"/>
        </w:rPr>
        <w:t xml:space="preserve"> </w:t>
      </w:r>
    </w:p>
    <w:p w14:paraId="28F0BC09" w14:textId="77777777" w:rsidR="002F0AFF" w:rsidRPr="00F015DD" w:rsidRDefault="001D003D" w:rsidP="00C46469">
      <w:pPr>
        <w:widowControl w:val="0"/>
        <w:autoSpaceDE w:val="0"/>
        <w:autoSpaceDN w:val="0"/>
        <w:adjustRightInd w:val="0"/>
        <w:spacing w:after="240"/>
        <w:jc w:val="both"/>
        <w:rPr>
          <w:rFonts w:asciiTheme="majorHAnsi" w:hAnsiTheme="majorHAnsi" w:cs="Times New Roman"/>
          <w:sz w:val="22"/>
          <w:szCs w:val="22"/>
          <w:lang w:val="fr-FR"/>
        </w:rPr>
      </w:pPr>
      <w:r w:rsidRPr="00F015DD">
        <w:rPr>
          <w:rFonts w:asciiTheme="majorHAnsi" w:hAnsiTheme="majorHAnsi"/>
          <w:sz w:val="22"/>
          <w:szCs w:val="22"/>
          <w:lang w:val="fr-FR"/>
        </w:rPr>
        <w:t xml:space="preserve">Le CDH a cité dans son Observation Générale </w:t>
      </w:r>
      <w:r w:rsidR="002F0AFF" w:rsidRPr="00F015DD">
        <w:rPr>
          <w:rFonts w:asciiTheme="majorHAnsi" w:hAnsiTheme="majorHAnsi"/>
          <w:sz w:val="22"/>
          <w:szCs w:val="22"/>
          <w:lang w:val="fr-FR"/>
        </w:rPr>
        <w:t xml:space="preserve">34 </w:t>
      </w:r>
      <w:r w:rsidRPr="00F015DD">
        <w:rPr>
          <w:rFonts w:asciiTheme="majorHAnsi" w:hAnsiTheme="majorHAnsi"/>
          <w:sz w:val="22"/>
          <w:szCs w:val="22"/>
          <w:lang w:val="fr-FR"/>
        </w:rPr>
        <w:t xml:space="preserve">que </w:t>
      </w:r>
      <w:r w:rsidR="002F0AFF" w:rsidRPr="00F015DD">
        <w:rPr>
          <w:rFonts w:asciiTheme="majorHAnsi" w:hAnsiTheme="majorHAnsi"/>
          <w:sz w:val="22"/>
          <w:szCs w:val="22"/>
          <w:lang w:val="fr-FR"/>
        </w:rPr>
        <w:t>“</w:t>
      </w:r>
      <w:r w:rsidRPr="00F015DD">
        <w:rPr>
          <w:rFonts w:asciiTheme="majorHAnsi" w:hAnsiTheme="majorHAnsi"/>
          <w:i/>
          <w:sz w:val="22"/>
          <w:szCs w:val="22"/>
          <w:lang w:val="fr-FR"/>
        </w:rPr>
        <w:t xml:space="preserve">Les articles 19 et 20 sont compatibles l’un avec l’autre et se complètent </w:t>
      </w:r>
      <w:r w:rsidR="002F0AFF" w:rsidRPr="00F015DD">
        <w:rPr>
          <w:rFonts w:asciiTheme="majorHAnsi" w:hAnsiTheme="majorHAnsi" w:cs="Times New Roman"/>
          <w:i/>
          <w:sz w:val="22"/>
          <w:szCs w:val="22"/>
          <w:lang w:val="fr-FR"/>
        </w:rPr>
        <w:t xml:space="preserve">… </w:t>
      </w:r>
      <w:r w:rsidRPr="00F015DD">
        <w:rPr>
          <w:rFonts w:asciiTheme="majorHAnsi" w:hAnsiTheme="majorHAnsi"/>
          <w:i/>
          <w:sz w:val="22"/>
          <w:szCs w:val="22"/>
          <w:lang w:val="fr-FR"/>
        </w:rPr>
        <w:t>De ce fait, une limite qui est justifiée par l’invocation de l’article 20 doit également être conforme au paragraphe 3 de l’article 19</w:t>
      </w:r>
      <w:r w:rsidR="002F0AFF" w:rsidRPr="00F015DD">
        <w:rPr>
          <w:rStyle w:val="FootnoteReference"/>
          <w:rFonts w:asciiTheme="majorHAnsi" w:hAnsiTheme="majorHAnsi" w:cs="Times New Roman"/>
          <w:i/>
          <w:sz w:val="22"/>
          <w:szCs w:val="22"/>
          <w:lang w:val="fr-FR"/>
        </w:rPr>
        <w:footnoteReference w:id="19"/>
      </w:r>
      <w:r w:rsidR="002F0AFF" w:rsidRPr="00F015DD">
        <w:rPr>
          <w:rFonts w:asciiTheme="majorHAnsi" w:hAnsiTheme="majorHAnsi" w:cs="Times New Roman"/>
          <w:sz w:val="22"/>
          <w:szCs w:val="22"/>
          <w:lang w:val="fr-FR"/>
        </w:rPr>
        <w:t xml:space="preserve">.”  </w:t>
      </w:r>
    </w:p>
    <w:p w14:paraId="366A5FF0" w14:textId="77777777" w:rsidR="002F0AFF" w:rsidRPr="00F015DD" w:rsidRDefault="00C46469" w:rsidP="00C46469">
      <w:pPr>
        <w:widowControl w:val="0"/>
        <w:autoSpaceDE w:val="0"/>
        <w:autoSpaceDN w:val="0"/>
        <w:adjustRightInd w:val="0"/>
        <w:spacing w:after="240"/>
        <w:jc w:val="both"/>
        <w:rPr>
          <w:rFonts w:asciiTheme="majorHAnsi" w:hAnsiTheme="majorHAnsi" w:cs="Times New Roman"/>
          <w:sz w:val="22"/>
          <w:szCs w:val="22"/>
          <w:lang w:val="fr-FR"/>
        </w:rPr>
      </w:pPr>
      <w:r w:rsidRPr="00F015DD">
        <w:rPr>
          <w:rFonts w:asciiTheme="majorHAnsi" w:hAnsiTheme="majorHAnsi" w:cs="Times New Roman"/>
          <w:sz w:val="22"/>
          <w:szCs w:val="22"/>
          <w:lang w:val="fr-FR"/>
        </w:rPr>
        <w:t>Cela signifie qu</w:t>
      </w:r>
      <w:r w:rsidR="001D003D" w:rsidRPr="00F015DD">
        <w:rPr>
          <w:rFonts w:asciiTheme="majorHAnsi" w:hAnsiTheme="majorHAnsi" w:cs="Times New Roman"/>
          <w:sz w:val="22"/>
          <w:szCs w:val="22"/>
          <w:lang w:val="fr-FR"/>
        </w:rPr>
        <w:t>e toute restriction en rapport avec l'interdiction de l'incitation à la violence ou à l'hostilité doit passer le test à trois parties</w:t>
      </w:r>
      <w:r w:rsidR="002F0AFF" w:rsidRPr="00F015DD">
        <w:rPr>
          <w:rFonts w:asciiTheme="majorHAnsi" w:hAnsiTheme="majorHAnsi" w:cs="Times New Roman"/>
          <w:sz w:val="22"/>
          <w:szCs w:val="22"/>
          <w:lang w:val="fr-FR"/>
        </w:rPr>
        <w:t xml:space="preserve">. </w:t>
      </w:r>
    </w:p>
    <w:p w14:paraId="29EF5CA5" w14:textId="77777777" w:rsidR="002F0AFF" w:rsidRPr="00F015DD" w:rsidRDefault="002F0AFF" w:rsidP="00C46469">
      <w:pPr>
        <w:jc w:val="both"/>
        <w:rPr>
          <w:rFonts w:asciiTheme="majorHAnsi" w:hAnsiTheme="majorHAnsi"/>
          <w:b/>
          <w:i/>
          <w:sz w:val="22"/>
          <w:szCs w:val="22"/>
          <w:lang w:val="fr-FR"/>
        </w:rPr>
      </w:pPr>
      <w:r w:rsidRPr="00F015DD">
        <w:rPr>
          <w:rFonts w:asciiTheme="majorHAnsi" w:hAnsiTheme="majorHAnsi"/>
          <w:b/>
          <w:i/>
          <w:sz w:val="22"/>
          <w:szCs w:val="22"/>
          <w:lang w:val="fr-FR"/>
        </w:rPr>
        <w:t>D</w:t>
      </w:r>
      <w:r w:rsidR="001D003D" w:rsidRPr="00F015DD">
        <w:rPr>
          <w:rFonts w:asciiTheme="majorHAnsi" w:hAnsiTheme="majorHAnsi"/>
          <w:b/>
          <w:i/>
          <w:sz w:val="22"/>
          <w:szCs w:val="22"/>
          <w:lang w:val="fr-FR"/>
        </w:rPr>
        <w:t>é</w:t>
      </w:r>
      <w:r w:rsidRPr="00F015DD">
        <w:rPr>
          <w:rFonts w:asciiTheme="majorHAnsi" w:hAnsiTheme="majorHAnsi"/>
          <w:b/>
          <w:i/>
          <w:sz w:val="22"/>
          <w:szCs w:val="22"/>
          <w:lang w:val="fr-FR"/>
        </w:rPr>
        <w:t xml:space="preserve">finition </w:t>
      </w:r>
      <w:r w:rsidR="001D003D" w:rsidRPr="00F015DD">
        <w:rPr>
          <w:rFonts w:asciiTheme="majorHAnsi" w:hAnsiTheme="majorHAnsi"/>
          <w:b/>
          <w:i/>
          <w:sz w:val="22"/>
          <w:szCs w:val="22"/>
          <w:lang w:val="fr-FR"/>
        </w:rPr>
        <w:t>des termes clés</w:t>
      </w:r>
      <w:r w:rsidRPr="00F015DD">
        <w:rPr>
          <w:rStyle w:val="FootnoteReference"/>
          <w:rFonts w:asciiTheme="majorHAnsi" w:hAnsiTheme="majorHAnsi"/>
          <w:b/>
          <w:i/>
          <w:sz w:val="22"/>
          <w:szCs w:val="22"/>
          <w:lang w:val="fr-FR"/>
        </w:rPr>
        <w:footnoteReference w:id="20"/>
      </w:r>
      <w:r w:rsidRPr="00F015DD">
        <w:rPr>
          <w:rFonts w:asciiTheme="majorHAnsi" w:hAnsiTheme="majorHAnsi"/>
          <w:b/>
          <w:i/>
          <w:sz w:val="22"/>
          <w:szCs w:val="22"/>
          <w:lang w:val="fr-FR"/>
        </w:rPr>
        <w:t>:</w:t>
      </w:r>
    </w:p>
    <w:p w14:paraId="5EC1F357" w14:textId="77777777" w:rsidR="002F0AFF" w:rsidRPr="00F015DD" w:rsidRDefault="002F0AFF" w:rsidP="00C46469">
      <w:pPr>
        <w:jc w:val="both"/>
        <w:rPr>
          <w:rFonts w:asciiTheme="majorHAnsi" w:hAnsiTheme="majorHAnsi"/>
          <w:sz w:val="22"/>
          <w:szCs w:val="22"/>
          <w:lang w:val="fr-FR"/>
        </w:rPr>
      </w:pPr>
    </w:p>
    <w:p w14:paraId="51A142CC" w14:textId="77777777" w:rsidR="002F0AFF" w:rsidRPr="00F015DD" w:rsidRDefault="00682AA4" w:rsidP="00C46469">
      <w:pPr>
        <w:jc w:val="both"/>
        <w:rPr>
          <w:rFonts w:asciiTheme="majorHAnsi" w:hAnsiTheme="majorHAnsi"/>
          <w:bCs/>
          <w:iCs/>
          <w:sz w:val="22"/>
          <w:szCs w:val="22"/>
          <w:lang w:val="fr-FR"/>
        </w:rPr>
      </w:pPr>
      <w:r w:rsidRPr="00F015DD">
        <w:rPr>
          <w:rFonts w:asciiTheme="majorHAnsi" w:hAnsiTheme="majorHAnsi"/>
          <w:bCs/>
          <w:iCs/>
          <w:sz w:val="22"/>
          <w:szCs w:val="22"/>
          <w:lang w:val="fr-FR"/>
        </w:rPr>
        <w:t>Sur la b</w:t>
      </w:r>
      <w:r w:rsidR="001D003D" w:rsidRPr="00F015DD">
        <w:rPr>
          <w:rFonts w:asciiTheme="majorHAnsi" w:hAnsiTheme="majorHAnsi"/>
          <w:bCs/>
          <w:iCs/>
          <w:sz w:val="22"/>
          <w:szCs w:val="22"/>
          <w:lang w:val="fr-FR"/>
        </w:rPr>
        <w:t xml:space="preserve">ase </w:t>
      </w:r>
      <w:r w:rsidRPr="00F015DD">
        <w:rPr>
          <w:rFonts w:asciiTheme="majorHAnsi" w:hAnsiTheme="majorHAnsi"/>
          <w:bCs/>
          <w:iCs/>
          <w:sz w:val="22"/>
          <w:szCs w:val="22"/>
          <w:lang w:val="fr-FR"/>
        </w:rPr>
        <w:t xml:space="preserve">d'un examen approfondi de la jurisprudence, </w:t>
      </w:r>
      <w:r w:rsidR="002F0AFF" w:rsidRPr="00F015DD">
        <w:rPr>
          <w:rFonts w:asciiTheme="majorHAnsi" w:hAnsiTheme="majorHAnsi"/>
          <w:bCs/>
          <w:iCs/>
          <w:sz w:val="22"/>
          <w:szCs w:val="22"/>
          <w:lang w:val="fr-FR"/>
        </w:rPr>
        <w:t xml:space="preserve">ARTICLE 19 </w:t>
      </w:r>
      <w:r w:rsidRPr="00F015DD">
        <w:rPr>
          <w:rFonts w:asciiTheme="majorHAnsi" w:hAnsiTheme="majorHAnsi"/>
          <w:bCs/>
          <w:iCs/>
          <w:sz w:val="22"/>
          <w:szCs w:val="22"/>
          <w:lang w:val="fr-FR"/>
        </w:rPr>
        <w:t xml:space="preserve">fournit les définitions suivantes des termes clés: </w:t>
      </w:r>
    </w:p>
    <w:p w14:paraId="328C5F0E" w14:textId="77777777" w:rsidR="002F0AFF" w:rsidRPr="00F015DD" w:rsidRDefault="002F0AFF" w:rsidP="00C46469">
      <w:pPr>
        <w:jc w:val="both"/>
        <w:rPr>
          <w:rFonts w:asciiTheme="majorHAnsi" w:hAnsiTheme="majorHAnsi"/>
          <w:bCs/>
          <w:i/>
          <w:iCs/>
          <w:sz w:val="22"/>
          <w:szCs w:val="22"/>
          <w:lang w:val="fr-FR"/>
        </w:rPr>
      </w:pPr>
    </w:p>
    <w:p w14:paraId="4E2778D9" w14:textId="1E4B9A9E" w:rsidR="002F0AFF" w:rsidRPr="00F015DD" w:rsidRDefault="00343BCA" w:rsidP="00C46469">
      <w:pPr>
        <w:pStyle w:val="ListParagraph"/>
        <w:numPr>
          <w:ilvl w:val="0"/>
          <w:numId w:val="13"/>
        </w:numPr>
        <w:jc w:val="both"/>
        <w:rPr>
          <w:rFonts w:asciiTheme="majorHAnsi" w:hAnsiTheme="majorHAnsi"/>
          <w:i/>
          <w:sz w:val="22"/>
          <w:szCs w:val="22"/>
          <w:lang w:val="fr-FR"/>
        </w:rPr>
      </w:pPr>
      <w:r w:rsidRPr="00F015DD">
        <w:rPr>
          <w:rFonts w:asciiTheme="majorHAnsi" w:hAnsiTheme="majorHAnsi"/>
          <w:bCs/>
          <w:i/>
          <w:iCs/>
          <w:sz w:val="22"/>
          <w:szCs w:val="22"/>
          <w:lang w:val="fr-FR"/>
        </w:rPr>
        <w:t>« </w:t>
      </w:r>
      <w:r w:rsidR="00682AA4" w:rsidRPr="00F015DD">
        <w:rPr>
          <w:rFonts w:asciiTheme="majorHAnsi" w:hAnsiTheme="majorHAnsi"/>
          <w:bCs/>
          <w:i/>
          <w:iCs/>
          <w:sz w:val="22"/>
          <w:szCs w:val="22"/>
          <w:lang w:val="fr-FR"/>
        </w:rPr>
        <w:t>La v</w:t>
      </w:r>
      <w:r w:rsidR="002F0AFF" w:rsidRPr="00F015DD">
        <w:rPr>
          <w:rFonts w:asciiTheme="majorHAnsi" w:hAnsiTheme="majorHAnsi"/>
          <w:bCs/>
          <w:i/>
          <w:iCs/>
          <w:sz w:val="22"/>
          <w:szCs w:val="22"/>
          <w:lang w:val="fr-FR"/>
        </w:rPr>
        <w:t>iolence</w:t>
      </w:r>
      <w:r w:rsidR="002F0AFF" w:rsidRPr="00F015DD">
        <w:rPr>
          <w:rFonts w:asciiTheme="majorHAnsi" w:hAnsiTheme="majorHAnsi"/>
          <w:bCs/>
          <w:i/>
          <w:sz w:val="22"/>
          <w:szCs w:val="22"/>
          <w:lang w:val="fr-FR"/>
        </w:rPr>
        <w:t xml:space="preserve"> </w:t>
      </w:r>
      <w:r w:rsidR="00682AA4" w:rsidRPr="00F015DD">
        <w:rPr>
          <w:rFonts w:asciiTheme="majorHAnsi" w:hAnsiTheme="majorHAnsi"/>
          <w:bCs/>
          <w:i/>
          <w:sz w:val="22"/>
          <w:szCs w:val="22"/>
          <w:lang w:val="fr-FR"/>
        </w:rPr>
        <w:t>est l'utilisation intentionnelle de la force physique ou du pouvoir à l'encontre d'une autre personne ou d'un groupe ou d'une communauté qui donne lieu ou peut vraisemblablement donner lieu à des dommages, décès, préjudice</w:t>
      </w:r>
      <w:r w:rsidR="00C46469" w:rsidRPr="00F015DD">
        <w:rPr>
          <w:rFonts w:asciiTheme="majorHAnsi" w:hAnsiTheme="majorHAnsi"/>
          <w:bCs/>
          <w:i/>
          <w:sz w:val="22"/>
          <w:szCs w:val="22"/>
          <w:lang w:val="fr-FR"/>
        </w:rPr>
        <w:t>s</w:t>
      </w:r>
      <w:r w:rsidR="00682AA4" w:rsidRPr="00F015DD">
        <w:rPr>
          <w:rFonts w:asciiTheme="majorHAnsi" w:hAnsiTheme="majorHAnsi"/>
          <w:bCs/>
          <w:i/>
          <w:sz w:val="22"/>
          <w:szCs w:val="22"/>
          <w:lang w:val="fr-FR"/>
        </w:rPr>
        <w:t xml:space="preserve"> psychologique</w:t>
      </w:r>
      <w:r w:rsidR="00C46469" w:rsidRPr="00F015DD">
        <w:rPr>
          <w:rFonts w:asciiTheme="majorHAnsi" w:hAnsiTheme="majorHAnsi"/>
          <w:bCs/>
          <w:i/>
          <w:sz w:val="22"/>
          <w:szCs w:val="22"/>
          <w:lang w:val="fr-FR"/>
        </w:rPr>
        <w:t>s</w:t>
      </w:r>
      <w:r w:rsidR="00682AA4" w:rsidRPr="00F015DD">
        <w:rPr>
          <w:rFonts w:asciiTheme="majorHAnsi" w:hAnsiTheme="majorHAnsi"/>
          <w:bCs/>
          <w:i/>
          <w:sz w:val="22"/>
          <w:szCs w:val="22"/>
          <w:lang w:val="fr-FR"/>
        </w:rPr>
        <w:t xml:space="preserve">, </w:t>
      </w:r>
      <w:proofErr w:type="spellStart"/>
      <w:r w:rsidR="00682AA4" w:rsidRPr="00F015DD">
        <w:rPr>
          <w:rFonts w:asciiTheme="majorHAnsi" w:hAnsiTheme="majorHAnsi"/>
          <w:bCs/>
          <w:i/>
          <w:sz w:val="22"/>
          <w:szCs w:val="22"/>
          <w:lang w:val="fr-FR"/>
        </w:rPr>
        <w:t>maldéveloppement</w:t>
      </w:r>
      <w:r w:rsidR="00C46469" w:rsidRPr="00F015DD">
        <w:rPr>
          <w:rFonts w:asciiTheme="majorHAnsi" w:hAnsiTheme="majorHAnsi"/>
          <w:bCs/>
          <w:i/>
          <w:sz w:val="22"/>
          <w:szCs w:val="22"/>
          <w:lang w:val="fr-FR"/>
        </w:rPr>
        <w:t>s</w:t>
      </w:r>
      <w:proofErr w:type="spellEnd"/>
      <w:r w:rsidR="00682AA4" w:rsidRPr="00F015DD">
        <w:rPr>
          <w:rFonts w:asciiTheme="majorHAnsi" w:hAnsiTheme="majorHAnsi"/>
          <w:bCs/>
          <w:i/>
          <w:sz w:val="22"/>
          <w:szCs w:val="22"/>
          <w:lang w:val="fr-FR"/>
        </w:rPr>
        <w:t xml:space="preserve"> ou </w:t>
      </w:r>
      <w:r w:rsidR="00682AA4" w:rsidRPr="00F015DD">
        <w:rPr>
          <w:rFonts w:asciiTheme="majorHAnsi" w:hAnsiTheme="majorHAnsi"/>
          <w:i/>
          <w:sz w:val="22"/>
          <w:szCs w:val="22"/>
          <w:lang w:val="fr-FR"/>
        </w:rPr>
        <w:t>privation</w:t>
      </w:r>
      <w:r w:rsidR="00C46469" w:rsidRPr="00F015DD">
        <w:rPr>
          <w:rFonts w:asciiTheme="majorHAnsi" w:hAnsiTheme="majorHAnsi"/>
          <w:i/>
          <w:sz w:val="22"/>
          <w:szCs w:val="22"/>
          <w:lang w:val="fr-FR"/>
        </w:rPr>
        <w:t>s</w:t>
      </w:r>
      <w:r w:rsidRPr="00F015DD">
        <w:rPr>
          <w:rStyle w:val="FootnoteReference"/>
          <w:rFonts w:asciiTheme="majorHAnsi" w:hAnsiTheme="majorHAnsi"/>
          <w:i/>
          <w:sz w:val="22"/>
          <w:szCs w:val="22"/>
          <w:lang w:val="fr-FR"/>
        </w:rPr>
        <w:footnoteReference w:id="21"/>
      </w:r>
      <w:r w:rsidRPr="00F015DD">
        <w:rPr>
          <w:rFonts w:asciiTheme="majorHAnsi" w:hAnsiTheme="majorHAnsi"/>
          <w:i/>
          <w:sz w:val="22"/>
          <w:szCs w:val="22"/>
          <w:lang w:val="fr-FR"/>
        </w:rPr>
        <w:t> »</w:t>
      </w:r>
      <w:r w:rsidR="00682AA4" w:rsidRPr="00F015DD">
        <w:rPr>
          <w:rFonts w:asciiTheme="majorHAnsi" w:hAnsiTheme="majorHAnsi"/>
          <w:i/>
          <w:sz w:val="22"/>
          <w:szCs w:val="22"/>
          <w:lang w:val="fr-FR"/>
        </w:rPr>
        <w:t xml:space="preserve"> </w:t>
      </w:r>
    </w:p>
    <w:p w14:paraId="5B53F1B9" w14:textId="77777777" w:rsidR="002F0AFF" w:rsidRPr="00F015DD" w:rsidRDefault="002F0AFF" w:rsidP="00C46469">
      <w:pPr>
        <w:jc w:val="both"/>
        <w:rPr>
          <w:rFonts w:asciiTheme="majorHAnsi" w:hAnsiTheme="majorHAnsi"/>
          <w:bCs/>
          <w:i/>
          <w:iCs/>
          <w:sz w:val="22"/>
          <w:szCs w:val="22"/>
          <w:lang w:val="fr-FR"/>
        </w:rPr>
      </w:pPr>
    </w:p>
    <w:p w14:paraId="3E6D3EB1" w14:textId="295F7B27" w:rsidR="002F0AFF" w:rsidRPr="00F015DD" w:rsidRDefault="00682AA4" w:rsidP="00C46469">
      <w:pPr>
        <w:pStyle w:val="ListParagraph"/>
        <w:numPr>
          <w:ilvl w:val="0"/>
          <w:numId w:val="13"/>
        </w:numPr>
        <w:jc w:val="both"/>
        <w:rPr>
          <w:rFonts w:asciiTheme="majorHAnsi" w:hAnsiTheme="majorHAnsi"/>
          <w:i/>
          <w:sz w:val="22"/>
          <w:szCs w:val="22"/>
          <w:lang w:val="fr-FR"/>
        </w:rPr>
      </w:pPr>
      <w:r w:rsidRPr="00F015DD">
        <w:rPr>
          <w:rFonts w:asciiTheme="majorHAnsi" w:hAnsiTheme="majorHAnsi"/>
          <w:bCs/>
          <w:i/>
          <w:iCs/>
          <w:sz w:val="22"/>
          <w:szCs w:val="22"/>
          <w:lang w:val="fr-FR"/>
        </w:rPr>
        <w:t>L'h</w:t>
      </w:r>
      <w:r w:rsidR="002F0AFF" w:rsidRPr="00F015DD">
        <w:rPr>
          <w:rFonts w:asciiTheme="majorHAnsi" w:hAnsiTheme="majorHAnsi"/>
          <w:bCs/>
          <w:i/>
          <w:iCs/>
          <w:sz w:val="22"/>
          <w:szCs w:val="22"/>
          <w:lang w:val="fr-FR"/>
        </w:rPr>
        <w:t>ostilit</w:t>
      </w:r>
      <w:r w:rsidRPr="00F015DD">
        <w:rPr>
          <w:rFonts w:asciiTheme="majorHAnsi" w:hAnsiTheme="majorHAnsi"/>
          <w:bCs/>
          <w:i/>
          <w:iCs/>
          <w:sz w:val="22"/>
          <w:szCs w:val="22"/>
          <w:lang w:val="fr-FR"/>
        </w:rPr>
        <w:t>é</w:t>
      </w:r>
      <w:r w:rsidR="002F0AFF" w:rsidRPr="00F015DD">
        <w:rPr>
          <w:rFonts w:asciiTheme="majorHAnsi" w:hAnsiTheme="majorHAnsi"/>
          <w:i/>
          <w:iCs/>
          <w:sz w:val="22"/>
          <w:szCs w:val="22"/>
          <w:lang w:val="fr-FR"/>
        </w:rPr>
        <w:t xml:space="preserve"> </w:t>
      </w:r>
      <w:r w:rsidRPr="00F015DD">
        <w:rPr>
          <w:rFonts w:asciiTheme="majorHAnsi" w:hAnsiTheme="majorHAnsi"/>
          <w:i/>
          <w:sz w:val="22"/>
          <w:szCs w:val="22"/>
          <w:lang w:val="fr-FR"/>
        </w:rPr>
        <w:t xml:space="preserve">implique une action manifeste et non un simple état d'esprit mais </w:t>
      </w:r>
      <w:r w:rsidR="00C46469" w:rsidRPr="00F015DD">
        <w:rPr>
          <w:rFonts w:asciiTheme="majorHAnsi" w:hAnsiTheme="majorHAnsi"/>
          <w:i/>
          <w:sz w:val="22"/>
          <w:szCs w:val="22"/>
          <w:lang w:val="fr-FR"/>
        </w:rPr>
        <w:t xml:space="preserve">plutôt </w:t>
      </w:r>
      <w:r w:rsidRPr="00F015DD">
        <w:rPr>
          <w:rFonts w:asciiTheme="majorHAnsi" w:hAnsiTheme="majorHAnsi"/>
          <w:i/>
          <w:sz w:val="22"/>
          <w:szCs w:val="22"/>
          <w:lang w:val="fr-FR"/>
        </w:rPr>
        <w:t>un état d'esprit qui est mis en pratique</w:t>
      </w:r>
      <w:r w:rsidR="002F0AFF" w:rsidRPr="00F015DD">
        <w:rPr>
          <w:rFonts w:asciiTheme="majorHAnsi" w:hAnsiTheme="majorHAnsi"/>
          <w:i/>
          <w:sz w:val="22"/>
          <w:szCs w:val="22"/>
          <w:lang w:val="fr-FR"/>
        </w:rPr>
        <w:t xml:space="preserve">. </w:t>
      </w:r>
      <w:r w:rsidRPr="00F015DD">
        <w:rPr>
          <w:rFonts w:asciiTheme="majorHAnsi" w:hAnsiTheme="majorHAnsi"/>
          <w:i/>
          <w:sz w:val="22"/>
          <w:szCs w:val="22"/>
          <w:lang w:val="fr-FR"/>
        </w:rPr>
        <w:t xml:space="preserve">Dans ce cas, l'hostilité peut être définie comme </w:t>
      </w:r>
      <w:r w:rsidR="00851E0C" w:rsidRPr="00F015DD">
        <w:rPr>
          <w:rFonts w:asciiTheme="majorHAnsi" w:hAnsiTheme="majorHAnsi"/>
          <w:i/>
          <w:sz w:val="22"/>
          <w:szCs w:val="22"/>
          <w:lang w:val="fr-FR"/>
        </w:rPr>
        <w:t>étant la manifestation de haine</w:t>
      </w:r>
      <w:r w:rsidR="00C46469" w:rsidRPr="00F015DD">
        <w:rPr>
          <w:rFonts w:asciiTheme="majorHAnsi" w:hAnsiTheme="majorHAnsi"/>
          <w:i/>
          <w:sz w:val="22"/>
          <w:szCs w:val="22"/>
          <w:lang w:val="fr-FR"/>
        </w:rPr>
        <w:t>, i.e. la manifestation d'émotions "</w:t>
      </w:r>
      <w:r w:rsidRPr="00F015DD">
        <w:rPr>
          <w:rFonts w:asciiTheme="majorHAnsi" w:hAnsiTheme="majorHAnsi"/>
          <w:i/>
          <w:sz w:val="22"/>
          <w:szCs w:val="22"/>
          <w:lang w:val="fr-FR"/>
        </w:rPr>
        <w:t>intenses et irrationnelles d'opprobre, d'hostilité et de détestation envers le groupe visé</w:t>
      </w:r>
      <w:r w:rsidR="002F0AFF" w:rsidRPr="00F015DD">
        <w:rPr>
          <w:rFonts w:asciiTheme="majorHAnsi" w:hAnsiTheme="majorHAnsi"/>
          <w:i/>
          <w:sz w:val="22"/>
          <w:szCs w:val="22"/>
          <w:lang w:val="fr-FR"/>
        </w:rPr>
        <w:t>.</w:t>
      </w:r>
      <w:r w:rsidR="00343BCA" w:rsidRPr="00F015DD">
        <w:rPr>
          <w:rStyle w:val="FootnoteReference"/>
          <w:rFonts w:asciiTheme="majorHAnsi" w:hAnsiTheme="majorHAnsi"/>
          <w:i/>
          <w:sz w:val="22"/>
          <w:szCs w:val="22"/>
          <w:lang w:val="fr-FR"/>
        </w:rPr>
        <w:footnoteReference w:id="22"/>
      </w:r>
      <w:r w:rsidR="002F0AFF" w:rsidRPr="00F015DD">
        <w:rPr>
          <w:rFonts w:asciiTheme="majorHAnsi" w:hAnsiTheme="majorHAnsi"/>
          <w:i/>
          <w:sz w:val="22"/>
          <w:szCs w:val="22"/>
          <w:lang w:val="fr-FR"/>
        </w:rPr>
        <w:t>”</w:t>
      </w:r>
    </w:p>
    <w:p w14:paraId="000AE924" w14:textId="77777777" w:rsidR="002F0AFF" w:rsidRPr="00F015DD" w:rsidRDefault="002F0AFF" w:rsidP="00C46469">
      <w:pPr>
        <w:pStyle w:val="NormalWeb"/>
        <w:shd w:val="clear" w:color="auto" w:fill="FFFFFF"/>
        <w:jc w:val="both"/>
        <w:rPr>
          <w:rFonts w:asciiTheme="majorHAnsi" w:hAnsiTheme="majorHAnsi"/>
          <w:b/>
          <w:i/>
          <w:color w:val="000000"/>
          <w:sz w:val="22"/>
          <w:szCs w:val="22"/>
          <w:lang w:val="fr-FR"/>
        </w:rPr>
      </w:pPr>
      <w:r w:rsidRPr="00F015DD">
        <w:rPr>
          <w:rFonts w:asciiTheme="majorHAnsi" w:hAnsiTheme="majorHAnsi"/>
          <w:b/>
          <w:i/>
          <w:color w:val="000000"/>
          <w:sz w:val="22"/>
          <w:szCs w:val="22"/>
          <w:lang w:val="fr-FR"/>
        </w:rPr>
        <w:t>Incit</w:t>
      </w:r>
      <w:r w:rsidR="00682AA4" w:rsidRPr="00F015DD">
        <w:rPr>
          <w:rFonts w:asciiTheme="majorHAnsi" w:hAnsiTheme="majorHAnsi"/>
          <w:b/>
          <w:i/>
          <w:color w:val="000000"/>
          <w:sz w:val="22"/>
          <w:szCs w:val="22"/>
          <w:lang w:val="fr-FR"/>
        </w:rPr>
        <w:t>ation</w:t>
      </w:r>
      <w:r w:rsidRPr="00F015DD">
        <w:rPr>
          <w:rFonts w:asciiTheme="majorHAnsi" w:hAnsiTheme="majorHAnsi"/>
          <w:b/>
          <w:i/>
          <w:color w:val="000000"/>
          <w:sz w:val="22"/>
          <w:szCs w:val="22"/>
          <w:lang w:val="fr-FR"/>
        </w:rPr>
        <w:t xml:space="preserve"> </w:t>
      </w:r>
      <w:r w:rsidR="00682AA4" w:rsidRPr="00F015DD">
        <w:rPr>
          <w:rFonts w:asciiTheme="majorHAnsi" w:hAnsiTheme="majorHAnsi"/>
          <w:b/>
          <w:i/>
          <w:color w:val="000000"/>
          <w:sz w:val="22"/>
          <w:szCs w:val="22"/>
          <w:lang w:val="fr-FR"/>
        </w:rPr>
        <w:t>et discours haineux</w:t>
      </w:r>
    </w:p>
    <w:p w14:paraId="3D9EBF94" w14:textId="7C474D30" w:rsidR="00B0579B" w:rsidRPr="00F015DD" w:rsidRDefault="00682AA4" w:rsidP="00C46469">
      <w:pPr>
        <w:pStyle w:val="NormalWeb"/>
        <w:shd w:val="clear" w:color="auto" w:fill="FFFFFF"/>
        <w:jc w:val="both"/>
        <w:rPr>
          <w:rFonts w:asciiTheme="majorHAnsi" w:hAnsiTheme="majorHAnsi"/>
          <w:color w:val="000000"/>
          <w:sz w:val="22"/>
          <w:szCs w:val="22"/>
          <w:lang w:val="fr-FR"/>
        </w:rPr>
      </w:pPr>
      <w:r w:rsidRPr="00F015DD">
        <w:rPr>
          <w:rFonts w:asciiTheme="majorHAnsi" w:hAnsiTheme="majorHAnsi"/>
          <w:color w:val="000000"/>
          <w:sz w:val="22"/>
          <w:szCs w:val="22"/>
          <w:lang w:val="fr-FR"/>
        </w:rPr>
        <w:t>L'incitation à certaines formes de violence est prohibée en vertu de l'</w:t>
      </w:r>
      <w:r w:rsidR="00EA3516" w:rsidRPr="00F015DD">
        <w:rPr>
          <w:rFonts w:asciiTheme="majorHAnsi" w:hAnsiTheme="majorHAnsi"/>
          <w:b/>
          <w:color w:val="000000"/>
          <w:sz w:val="22"/>
          <w:szCs w:val="22"/>
          <w:lang w:val="fr-FR"/>
        </w:rPr>
        <w:t xml:space="preserve">article 20 </w:t>
      </w:r>
      <w:r w:rsidR="00343BCA" w:rsidRPr="00F015DD">
        <w:rPr>
          <w:rFonts w:asciiTheme="majorHAnsi" w:hAnsiTheme="majorHAnsi"/>
          <w:b/>
          <w:color w:val="000000"/>
          <w:sz w:val="22"/>
          <w:szCs w:val="22"/>
          <w:lang w:val="fr-FR"/>
        </w:rPr>
        <w:t>du Covenant International  sur les Droits Civils et Politiques (CIDCP)</w:t>
      </w:r>
      <w:r w:rsidR="00EA3516" w:rsidRPr="00F015DD">
        <w:rPr>
          <w:rFonts w:asciiTheme="majorHAnsi" w:hAnsiTheme="majorHAnsi"/>
          <w:color w:val="000000"/>
          <w:sz w:val="22"/>
          <w:szCs w:val="22"/>
          <w:lang w:val="fr-FR"/>
        </w:rPr>
        <w:t xml:space="preserve"> </w:t>
      </w:r>
      <w:r w:rsidR="00C46469" w:rsidRPr="00F015DD">
        <w:rPr>
          <w:rFonts w:asciiTheme="majorHAnsi" w:hAnsiTheme="majorHAnsi"/>
          <w:color w:val="000000"/>
          <w:sz w:val="22"/>
          <w:szCs w:val="22"/>
          <w:lang w:val="fr-FR"/>
        </w:rPr>
        <w:t xml:space="preserve">et en vertu également </w:t>
      </w:r>
      <w:r w:rsidRPr="00F015DD">
        <w:rPr>
          <w:rFonts w:asciiTheme="majorHAnsi" w:hAnsiTheme="majorHAnsi"/>
          <w:color w:val="000000"/>
          <w:sz w:val="22"/>
          <w:szCs w:val="22"/>
          <w:lang w:val="fr-FR"/>
        </w:rPr>
        <w:t xml:space="preserve">de </w:t>
      </w:r>
      <w:r w:rsidRPr="00F015DD">
        <w:rPr>
          <w:rFonts w:asciiTheme="majorHAnsi" w:hAnsiTheme="majorHAnsi"/>
          <w:b/>
          <w:color w:val="000000"/>
          <w:sz w:val="22"/>
          <w:szCs w:val="22"/>
          <w:lang w:val="fr-FR"/>
        </w:rPr>
        <w:t>la Convention sur le génocide de 1948</w:t>
      </w:r>
      <w:r w:rsidR="00EA3516" w:rsidRPr="00F015DD">
        <w:rPr>
          <w:rFonts w:asciiTheme="majorHAnsi" w:hAnsiTheme="majorHAnsi"/>
          <w:color w:val="000000"/>
          <w:sz w:val="22"/>
          <w:szCs w:val="22"/>
          <w:lang w:val="fr-FR"/>
        </w:rPr>
        <w:t xml:space="preserve">. </w:t>
      </w:r>
      <w:r w:rsidRPr="00F015DD">
        <w:rPr>
          <w:rFonts w:asciiTheme="majorHAnsi" w:hAnsiTheme="majorHAnsi"/>
          <w:color w:val="000000"/>
          <w:sz w:val="22"/>
          <w:szCs w:val="22"/>
          <w:lang w:val="fr-FR"/>
        </w:rPr>
        <w:t>Les deux formes d'incitation à la violence sont en rapport avec l'existence de la "haine" et entrent ainsi souvent dans le cadre de la catégorie sociologique de ce que l'on appelle "discours haineu</w:t>
      </w:r>
      <w:r w:rsidR="00C46469" w:rsidRPr="00F015DD">
        <w:rPr>
          <w:rFonts w:asciiTheme="majorHAnsi" w:hAnsiTheme="majorHAnsi"/>
          <w:color w:val="000000"/>
          <w:sz w:val="22"/>
          <w:szCs w:val="22"/>
          <w:lang w:val="fr-FR"/>
        </w:rPr>
        <w:t xml:space="preserve">x". Ce </w:t>
      </w:r>
      <w:r w:rsidR="00343BCA" w:rsidRPr="00F015DD">
        <w:rPr>
          <w:rFonts w:asciiTheme="majorHAnsi" w:hAnsiTheme="majorHAnsi"/>
          <w:color w:val="000000"/>
          <w:sz w:val="22"/>
          <w:szCs w:val="22"/>
          <w:lang w:val="fr-FR"/>
        </w:rPr>
        <w:t xml:space="preserve">genre de </w:t>
      </w:r>
      <w:r w:rsidR="00C46469" w:rsidRPr="00F015DD">
        <w:rPr>
          <w:rFonts w:asciiTheme="majorHAnsi" w:hAnsiTheme="majorHAnsi"/>
          <w:color w:val="000000"/>
          <w:sz w:val="22"/>
          <w:szCs w:val="22"/>
          <w:lang w:val="fr-FR"/>
        </w:rPr>
        <w:t xml:space="preserve">discours est également </w:t>
      </w:r>
      <w:r w:rsidRPr="00F015DD">
        <w:rPr>
          <w:rFonts w:asciiTheme="majorHAnsi" w:hAnsiTheme="majorHAnsi"/>
          <w:color w:val="000000"/>
          <w:sz w:val="22"/>
          <w:szCs w:val="22"/>
          <w:lang w:val="fr-FR"/>
        </w:rPr>
        <w:t xml:space="preserve">interdit par l'article 4 de la Convention internationale de 1965 sur l'élimination de toutes les formes de discrimination raciale et par l'article 19 de </w:t>
      </w:r>
      <w:r w:rsidR="00C46469" w:rsidRPr="00F015DD">
        <w:rPr>
          <w:rFonts w:asciiTheme="majorHAnsi" w:hAnsiTheme="majorHAnsi"/>
          <w:color w:val="000000"/>
          <w:sz w:val="22"/>
          <w:szCs w:val="22"/>
          <w:lang w:val="fr-FR"/>
        </w:rPr>
        <w:t>l'</w:t>
      </w:r>
      <w:r w:rsidR="00B0579B" w:rsidRPr="00F015DD">
        <w:rPr>
          <w:rFonts w:asciiTheme="majorHAnsi" w:hAnsiTheme="majorHAnsi"/>
          <w:color w:val="000000"/>
          <w:sz w:val="22"/>
          <w:szCs w:val="22"/>
          <w:lang w:val="fr-FR"/>
        </w:rPr>
        <w:t xml:space="preserve">ICCPR.  </w:t>
      </w:r>
      <w:r w:rsidRPr="00F015DD">
        <w:rPr>
          <w:rFonts w:asciiTheme="majorHAnsi" w:hAnsiTheme="majorHAnsi"/>
          <w:color w:val="000000"/>
          <w:sz w:val="22"/>
          <w:szCs w:val="22"/>
          <w:lang w:val="fr-FR"/>
        </w:rPr>
        <w:t>En</w:t>
      </w:r>
      <w:r w:rsidR="00B0579B" w:rsidRPr="00F015DD">
        <w:rPr>
          <w:rFonts w:asciiTheme="majorHAnsi" w:hAnsiTheme="majorHAnsi"/>
          <w:color w:val="000000"/>
          <w:sz w:val="22"/>
          <w:szCs w:val="22"/>
          <w:lang w:val="fr-FR"/>
        </w:rPr>
        <w:t xml:space="preserve"> 2005, </w:t>
      </w:r>
      <w:r w:rsidRPr="00F015DD">
        <w:rPr>
          <w:rFonts w:asciiTheme="majorHAnsi" w:hAnsiTheme="majorHAnsi"/>
          <w:color w:val="000000"/>
          <w:sz w:val="22"/>
          <w:szCs w:val="22"/>
          <w:lang w:val="fr-FR"/>
        </w:rPr>
        <w:t>le Conseil de Sécurité a adopté la résolution 1624 (2005) du Conseil de Sécurité des N</w:t>
      </w:r>
      <w:r w:rsidR="00343BCA" w:rsidRPr="00F015DD">
        <w:rPr>
          <w:rFonts w:asciiTheme="majorHAnsi" w:hAnsiTheme="majorHAnsi"/>
          <w:color w:val="000000"/>
          <w:sz w:val="22"/>
          <w:szCs w:val="22"/>
          <w:lang w:val="fr-FR"/>
        </w:rPr>
        <w:t xml:space="preserve">ations </w:t>
      </w:r>
      <w:r w:rsidRPr="00F015DD">
        <w:rPr>
          <w:rFonts w:asciiTheme="majorHAnsi" w:hAnsiTheme="majorHAnsi"/>
          <w:color w:val="000000"/>
          <w:sz w:val="22"/>
          <w:szCs w:val="22"/>
          <w:lang w:val="fr-FR"/>
        </w:rPr>
        <w:t>U</w:t>
      </w:r>
      <w:r w:rsidR="00343BCA" w:rsidRPr="00F015DD">
        <w:rPr>
          <w:rFonts w:asciiTheme="majorHAnsi" w:hAnsiTheme="majorHAnsi"/>
          <w:color w:val="000000"/>
          <w:sz w:val="22"/>
          <w:szCs w:val="22"/>
          <w:lang w:val="fr-FR"/>
        </w:rPr>
        <w:t>nies</w:t>
      </w:r>
      <w:r w:rsidRPr="00F015DD">
        <w:rPr>
          <w:rFonts w:asciiTheme="majorHAnsi" w:hAnsiTheme="majorHAnsi"/>
          <w:color w:val="000000"/>
          <w:sz w:val="22"/>
          <w:szCs w:val="22"/>
          <w:lang w:val="fr-FR"/>
        </w:rPr>
        <w:t xml:space="preserve"> qui exige des Etats d'interdire l'incitation à commet</w:t>
      </w:r>
      <w:r w:rsidR="00C46469" w:rsidRPr="00F015DD">
        <w:rPr>
          <w:rFonts w:asciiTheme="majorHAnsi" w:hAnsiTheme="majorHAnsi"/>
          <w:color w:val="000000"/>
          <w:sz w:val="22"/>
          <w:szCs w:val="22"/>
          <w:lang w:val="fr-FR"/>
        </w:rPr>
        <w:t>t</w:t>
      </w:r>
      <w:r w:rsidRPr="00F015DD">
        <w:rPr>
          <w:rFonts w:asciiTheme="majorHAnsi" w:hAnsiTheme="majorHAnsi"/>
          <w:color w:val="000000"/>
          <w:sz w:val="22"/>
          <w:szCs w:val="22"/>
          <w:lang w:val="fr-FR"/>
        </w:rPr>
        <w:t>re des actes terroristes (</w:t>
      </w:r>
      <w:r w:rsidR="00EA3516" w:rsidRPr="00F015DD">
        <w:rPr>
          <w:rFonts w:asciiTheme="majorHAnsi" w:hAnsiTheme="majorHAnsi"/>
          <w:color w:val="000000"/>
          <w:sz w:val="22"/>
          <w:szCs w:val="22"/>
          <w:lang w:val="fr-FR"/>
        </w:rPr>
        <w:t xml:space="preserve">article 1). </w:t>
      </w:r>
      <w:r w:rsidR="00B0579B" w:rsidRPr="00F015DD">
        <w:rPr>
          <w:rFonts w:asciiTheme="majorHAnsi" w:hAnsiTheme="majorHAnsi"/>
          <w:color w:val="000000"/>
          <w:sz w:val="22"/>
          <w:szCs w:val="22"/>
          <w:lang w:val="fr-FR"/>
        </w:rPr>
        <w:t xml:space="preserve"> </w:t>
      </w:r>
      <w:r w:rsidRPr="00F015DD">
        <w:rPr>
          <w:rFonts w:asciiTheme="majorHAnsi" w:hAnsiTheme="majorHAnsi"/>
          <w:color w:val="000000"/>
          <w:sz w:val="22"/>
          <w:szCs w:val="22"/>
          <w:lang w:val="fr-FR"/>
        </w:rPr>
        <w:t>La résolution dissocie l'incitation de la haine</w:t>
      </w:r>
      <w:r w:rsidR="00B0579B" w:rsidRPr="00F015DD">
        <w:rPr>
          <w:rFonts w:asciiTheme="majorHAnsi" w:hAnsiTheme="majorHAnsi"/>
          <w:color w:val="000000"/>
          <w:sz w:val="22"/>
          <w:szCs w:val="22"/>
          <w:lang w:val="fr-FR"/>
        </w:rPr>
        <w:t xml:space="preserve">. </w:t>
      </w:r>
    </w:p>
    <w:p w14:paraId="0E285EC5" w14:textId="77777777" w:rsidR="00EA3516" w:rsidRPr="00F015DD" w:rsidRDefault="00682AA4" w:rsidP="00C46469">
      <w:pPr>
        <w:jc w:val="both"/>
        <w:rPr>
          <w:rFonts w:asciiTheme="majorHAnsi" w:hAnsiTheme="majorHAnsi"/>
          <w:color w:val="000000"/>
          <w:sz w:val="22"/>
          <w:szCs w:val="22"/>
          <w:lang w:val="fr-FR"/>
        </w:rPr>
      </w:pPr>
      <w:r w:rsidRPr="00F015DD">
        <w:rPr>
          <w:rFonts w:asciiTheme="majorHAnsi" w:hAnsiTheme="majorHAnsi"/>
          <w:color w:val="000000"/>
          <w:sz w:val="22"/>
          <w:szCs w:val="22"/>
          <w:lang w:val="fr-FR"/>
        </w:rPr>
        <w:lastRenderedPageBreak/>
        <w:t xml:space="preserve">Le schéma ci-dessous présente une typologie </w:t>
      </w:r>
      <w:r w:rsidR="00C46469" w:rsidRPr="00F015DD">
        <w:rPr>
          <w:rFonts w:asciiTheme="majorHAnsi" w:hAnsiTheme="majorHAnsi"/>
          <w:color w:val="000000"/>
          <w:sz w:val="22"/>
          <w:szCs w:val="22"/>
          <w:lang w:val="fr-FR"/>
        </w:rPr>
        <w:t>des expressions</w:t>
      </w:r>
      <w:r w:rsidRPr="00F015DD">
        <w:rPr>
          <w:rFonts w:asciiTheme="majorHAnsi" w:hAnsiTheme="majorHAnsi"/>
          <w:color w:val="000000"/>
          <w:sz w:val="22"/>
          <w:szCs w:val="22"/>
          <w:lang w:val="fr-FR"/>
        </w:rPr>
        <w:t xml:space="preserve"> qui devraient ou pourraient être légitimement </w:t>
      </w:r>
      <w:proofErr w:type="spellStart"/>
      <w:r w:rsidRPr="00F015DD">
        <w:rPr>
          <w:rFonts w:asciiTheme="majorHAnsi" w:hAnsiTheme="majorHAnsi"/>
          <w:color w:val="000000"/>
          <w:sz w:val="22"/>
          <w:szCs w:val="22"/>
          <w:lang w:val="fr-FR"/>
        </w:rPr>
        <w:t>réstreint</w:t>
      </w:r>
      <w:r w:rsidR="00C46469" w:rsidRPr="00F015DD">
        <w:rPr>
          <w:rFonts w:asciiTheme="majorHAnsi" w:hAnsiTheme="majorHAnsi"/>
          <w:color w:val="000000"/>
          <w:sz w:val="22"/>
          <w:szCs w:val="22"/>
          <w:lang w:val="fr-FR"/>
        </w:rPr>
        <w:t>e</w:t>
      </w:r>
      <w:r w:rsidRPr="00F015DD">
        <w:rPr>
          <w:rFonts w:asciiTheme="majorHAnsi" w:hAnsiTheme="majorHAnsi"/>
          <w:color w:val="000000"/>
          <w:sz w:val="22"/>
          <w:szCs w:val="22"/>
          <w:lang w:val="fr-FR"/>
        </w:rPr>
        <w:t>s</w:t>
      </w:r>
      <w:proofErr w:type="spellEnd"/>
      <w:r w:rsidRPr="00F015DD">
        <w:rPr>
          <w:rFonts w:asciiTheme="majorHAnsi" w:hAnsiTheme="majorHAnsi"/>
          <w:color w:val="000000"/>
          <w:sz w:val="22"/>
          <w:szCs w:val="22"/>
          <w:lang w:val="fr-FR"/>
        </w:rPr>
        <w:t xml:space="preserve"> parce qu'</w:t>
      </w:r>
      <w:r w:rsidR="00C46469" w:rsidRPr="00F015DD">
        <w:rPr>
          <w:rFonts w:asciiTheme="majorHAnsi" w:hAnsiTheme="majorHAnsi"/>
          <w:color w:val="000000"/>
          <w:sz w:val="22"/>
          <w:szCs w:val="22"/>
          <w:lang w:val="fr-FR"/>
        </w:rPr>
        <w:t>elles</w:t>
      </w:r>
      <w:r w:rsidRPr="00F015DD">
        <w:rPr>
          <w:rFonts w:asciiTheme="majorHAnsi" w:hAnsiTheme="majorHAnsi"/>
          <w:color w:val="000000"/>
          <w:sz w:val="22"/>
          <w:szCs w:val="22"/>
          <w:lang w:val="fr-FR"/>
        </w:rPr>
        <w:t xml:space="preserve"> transmettent une certaine forme de "haine" et violent ou renient les droits des autres (y compris leurs droits à la vie), la sécurité nationale et plus généralement les droits et les valeurs véhiculés par la </w:t>
      </w:r>
      <w:r w:rsidRPr="00F015DD">
        <w:rPr>
          <w:rFonts w:asciiTheme="majorHAnsi" w:hAnsiTheme="majorHAnsi" w:cs="Arial"/>
          <w:color w:val="2E2E2E"/>
          <w:sz w:val="22"/>
          <w:szCs w:val="22"/>
          <w:lang w:val="fr-FR"/>
        </w:rPr>
        <w:t>Déclaration Universelle des Dro</w:t>
      </w:r>
      <w:r w:rsidRPr="00F015DD">
        <w:rPr>
          <w:rFonts w:asciiTheme="majorHAnsi" w:hAnsiTheme="majorHAnsi" w:cs="Arial"/>
          <w:color w:val="242424"/>
          <w:sz w:val="22"/>
          <w:szCs w:val="22"/>
          <w:lang w:val="fr-FR"/>
        </w:rPr>
        <w:t>it</w:t>
      </w:r>
      <w:r w:rsidRPr="00F015DD">
        <w:rPr>
          <w:rFonts w:asciiTheme="majorHAnsi" w:hAnsiTheme="majorHAnsi" w:cs="Arial"/>
          <w:color w:val="1B1B1B"/>
          <w:sz w:val="22"/>
          <w:szCs w:val="22"/>
          <w:lang w:val="fr-FR"/>
        </w:rPr>
        <w:t>s de l'H</w:t>
      </w:r>
      <w:r w:rsidRPr="00F015DD">
        <w:rPr>
          <w:rFonts w:asciiTheme="majorHAnsi" w:hAnsiTheme="majorHAnsi" w:cs="Arial"/>
          <w:color w:val="131313"/>
          <w:sz w:val="22"/>
          <w:szCs w:val="22"/>
          <w:lang w:val="fr-FR"/>
        </w:rPr>
        <w:t>omme</w:t>
      </w:r>
      <w:r w:rsidRPr="00F015DD">
        <w:rPr>
          <w:rFonts w:asciiTheme="majorHAnsi" w:hAnsiTheme="majorHAnsi" w:cs="Arial"/>
          <w:color w:val="0B0B0B"/>
          <w:sz w:val="22"/>
          <w:szCs w:val="22"/>
          <w:lang w:val="fr-FR"/>
        </w:rPr>
        <w:t xml:space="preserve"> (</w:t>
      </w:r>
      <w:r w:rsidRPr="00F015DD">
        <w:rPr>
          <w:rFonts w:asciiTheme="majorHAnsi" w:hAnsiTheme="majorHAnsi" w:cs="Arial"/>
          <w:color w:val="2E2E2E"/>
          <w:sz w:val="22"/>
          <w:szCs w:val="22"/>
          <w:lang w:val="fr-FR"/>
        </w:rPr>
        <w:t>DUDH</w:t>
      </w:r>
      <w:r w:rsidRPr="00F015DD">
        <w:rPr>
          <w:rFonts w:asciiTheme="majorHAnsi" w:hAnsiTheme="majorHAnsi" w:cs="Arial"/>
          <w:color w:val="0B0B0B"/>
          <w:sz w:val="22"/>
          <w:szCs w:val="22"/>
          <w:lang w:val="fr-FR"/>
        </w:rPr>
        <w:t>)</w:t>
      </w:r>
      <w:r w:rsidR="006675FB" w:rsidRPr="00F015DD">
        <w:rPr>
          <w:rFonts w:asciiTheme="majorHAnsi" w:hAnsiTheme="majorHAnsi"/>
          <w:color w:val="000000"/>
          <w:sz w:val="22"/>
          <w:szCs w:val="22"/>
          <w:lang w:val="fr-FR"/>
        </w:rPr>
        <w:t xml:space="preserve">. </w:t>
      </w:r>
    </w:p>
    <w:p w14:paraId="3DC8700D" w14:textId="77777777" w:rsidR="00FB0A9D" w:rsidRPr="00F015DD" w:rsidRDefault="00FB0A9D" w:rsidP="00E22777">
      <w:pPr>
        <w:widowControl w:val="0"/>
        <w:autoSpaceDE w:val="0"/>
        <w:autoSpaceDN w:val="0"/>
        <w:adjustRightInd w:val="0"/>
        <w:spacing w:after="240"/>
        <w:jc w:val="both"/>
        <w:rPr>
          <w:rFonts w:asciiTheme="majorHAnsi" w:hAnsiTheme="majorHAnsi"/>
          <w:b/>
          <w:i/>
          <w:sz w:val="22"/>
          <w:szCs w:val="22"/>
          <w:lang w:val="fr-FR"/>
        </w:rPr>
      </w:pPr>
    </w:p>
    <w:p w14:paraId="4D7F7D4F" w14:textId="77777777" w:rsidR="00FB0A9D" w:rsidRPr="00F015DD" w:rsidRDefault="00C8551E" w:rsidP="00674228">
      <w:pPr>
        <w:widowControl w:val="0"/>
        <w:autoSpaceDE w:val="0"/>
        <w:autoSpaceDN w:val="0"/>
        <w:adjustRightInd w:val="0"/>
        <w:spacing w:after="240"/>
        <w:jc w:val="both"/>
        <w:rPr>
          <w:rFonts w:asciiTheme="majorHAnsi" w:hAnsiTheme="majorHAnsi"/>
          <w:b/>
          <w:i/>
          <w:sz w:val="22"/>
          <w:szCs w:val="22"/>
          <w:lang w:val="fr-FR"/>
        </w:rPr>
      </w:pPr>
      <w:r w:rsidRPr="00F015DD">
        <w:rPr>
          <w:rFonts w:asciiTheme="majorHAnsi" w:hAnsiTheme="majorHAnsi"/>
          <w:noProof/>
          <w:color w:val="000000"/>
          <w:sz w:val="22"/>
          <w:szCs w:val="22"/>
          <w:lang w:eastAsia="en-US"/>
        </w:rPr>
        <mc:AlternateContent>
          <mc:Choice Requires="wps">
            <w:drawing>
              <wp:anchor distT="0" distB="0" distL="114300" distR="114300" simplePos="0" relativeHeight="251663360" behindDoc="0" locked="0" layoutInCell="1" allowOverlap="1" wp14:anchorId="75367B3D" wp14:editId="4622BDC8">
                <wp:simplePos x="0" y="0"/>
                <wp:positionH relativeFrom="column">
                  <wp:posOffset>1143000</wp:posOffset>
                </wp:positionH>
                <wp:positionV relativeFrom="paragraph">
                  <wp:posOffset>2137410</wp:posOffset>
                </wp:positionV>
                <wp:extent cx="3171825" cy="695325"/>
                <wp:effectExtent l="0" t="0" r="317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69532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05D23" w14:textId="60829575" w:rsidR="006E0B44" w:rsidRPr="00674228" w:rsidRDefault="006E0B44" w:rsidP="00674228">
                            <w:pPr>
                              <w:jc w:val="center"/>
                              <w:rPr>
                                <w:b/>
                                <w:bCs/>
                                <w:lang w:val="fr-FR"/>
                              </w:rPr>
                            </w:pPr>
                            <w:r w:rsidRPr="00674228">
                              <w:rPr>
                                <w:b/>
                                <w:bCs/>
                                <w:lang w:val="fr-FR"/>
                              </w:rPr>
                              <w:t>Glorification, promo</w:t>
                            </w:r>
                            <w:r>
                              <w:rPr>
                                <w:b/>
                                <w:bCs/>
                                <w:lang w:val="fr-FR"/>
                              </w:rPr>
                              <w:t xml:space="preserve">tion, justification (de la </w:t>
                            </w:r>
                            <w:r w:rsidRPr="00674228">
                              <w:rPr>
                                <w:b/>
                                <w:bCs/>
                                <w:lang w:val="fr-FR"/>
                              </w:rPr>
                              <w:t>haine, supériorité raciale, terrorisme</w:t>
                            </w:r>
                            <w:r>
                              <w:rPr>
                                <w:b/>
                                <w:bCs/>
                                <w:lang w:val="fr-FR"/>
                              </w:rPr>
                              <w:t xml:space="preserve">), </w:t>
                            </w:r>
                            <w:proofErr w:type="spellStart"/>
                            <w:r>
                              <w:rPr>
                                <w:b/>
                                <w:bCs/>
                                <w:lang w:val="fr-FR"/>
                              </w:rPr>
                              <w:t>Vilifaction</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90pt;margin-top:168.3pt;width:249.7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" fillcolor="#ffc000" stroked="f">
                <v:textbox>
                  <w:txbxContent>
                    <w:p w14:paraId="5CB05D23" w14:textId="60829575" w:rsidR="006E0B44" w:rsidRPr="00674228" w:rsidRDefault="006E0B44" w:rsidP="00674228">
                      <w:pPr>
                        <w:jc w:val="center"/>
                        <w:rPr>
                          <w:b/>
                          <w:bCs/>
                          <w:lang w:val="fr-FR"/>
                        </w:rPr>
                      </w:pPr>
                      <w:r w:rsidRPr="00674228">
                        <w:rPr>
                          <w:b/>
                          <w:bCs/>
                          <w:lang w:val="fr-FR"/>
                        </w:rPr>
                        <w:t>Glorification, promo</w:t>
                      </w:r>
                      <w:r>
                        <w:rPr>
                          <w:b/>
                          <w:bCs/>
                          <w:lang w:val="fr-FR"/>
                        </w:rPr>
                        <w:t xml:space="preserve">tion, justification (de la </w:t>
                      </w:r>
                      <w:r w:rsidRPr="00674228">
                        <w:rPr>
                          <w:b/>
                          <w:bCs/>
                          <w:lang w:val="fr-FR"/>
                        </w:rPr>
                        <w:t>haine, supériorité raciale, terrorisme</w:t>
                      </w:r>
                      <w:r>
                        <w:rPr>
                          <w:b/>
                          <w:bCs/>
                          <w:lang w:val="fr-FR"/>
                        </w:rPr>
                        <w:t xml:space="preserve">), </w:t>
                      </w:r>
                      <w:proofErr w:type="spellStart"/>
                      <w:r>
                        <w:rPr>
                          <w:b/>
                          <w:bCs/>
                          <w:lang w:val="fr-FR"/>
                        </w:rPr>
                        <w:t>Vilifaction</w:t>
                      </w:r>
                      <w:proofErr w:type="spellEnd"/>
                    </w:p>
                  </w:txbxContent>
                </v:textbox>
              </v:shape>
            </w:pict>
          </mc:Fallback>
        </mc:AlternateContent>
      </w:r>
      <w:r w:rsidR="008A2CE8" w:rsidRPr="00F015DD">
        <w:rPr>
          <w:rFonts w:asciiTheme="majorHAnsi" w:hAnsiTheme="majorHAnsi"/>
          <w:noProof/>
          <w:color w:val="000000"/>
          <w:sz w:val="22"/>
          <w:szCs w:val="22"/>
          <w:lang w:eastAsia="en-US"/>
        </w:rPr>
        <mc:AlternateContent>
          <mc:Choice Requires="wps">
            <w:drawing>
              <wp:anchor distT="0" distB="0" distL="114300" distR="114300" simplePos="0" relativeHeight="251661312" behindDoc="0" locked="0" layoutInCell="1" allowOverlap="1" wp14:anchorId="3DD78DC7" wp14:editId="1166E942">
                <wp:simplePos x="0" y="0"/>
                <wp:positionH relativeFrom="column">
                  <wp:posOffset>1866900</wp:posOffset>
                </wp:positionH>
                <wp:positionV relativeFrom="paragraph">
                  <wp:posOffset>763270</wp:posOffset>
                </wp:positionV>
                <wp:extent cx="1666875" cy="685800"/>
                <wp:effectExtent l="0" t="6350" r="0" b="635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685800"/>
                        </a:xfrm>
                        <a:prstGeom prst="rect">
                          <a:avLst/>
                        </a:prstGeom>
                        <a:solidFill>
                          <a:schemeClr val="accent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1F99A" w14:textId="370B1DC4" w:rsidR="006E0B44" w:rsidRPr="00674228" w:rsidRDefault="006E0B44" w:rsidP="00674228">
                            <w:pPr>
                              <w:jc w:val="center"/>
                              <w:rPr>
                                <w:b/>
                                <w:bCs/>
                                <w:lang w:val="fr-FR"/>
                              </w:rPr>
                            </w:pPr>
                            <w:r w:rsidRPr="00674228">
                              <w:rPr>
                                <w:b/>
                                <w:bCs/>
                                <w:lang w:val="fr-FR"/>
                              </w:rPr>
                              <w:t>Incitation  à la violence et incitation au terrorisme</w:t>
                            </w:r>
                            <w:r>
                              <w:rPr>
                                <w:b/>
                                <w:bCs/>
                                <w:lang w:val="fr-F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47pt;margin-top:60.1pt;width:131.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" fillcolor="#d99594 [1941]" stroked="f">
                <v:textbox>
                  <w:txbxContent>
                    <w:p w14:paraId="0DB1F99A" w14:textId="370B1DC4" w:rsidR="006E0B44" w:rsidRPr="00674228" w:rsidRDefault="006E0B44" w:rsidP="00674228">
                      <w:pPr>
                        <w:jc w:val="center"/>
                        <w:rPr>
                          <w:b/>
                          <w:bCs/>
                          <w:lang w:val="fr-FR"/>
                        </w:rPr>
                      </w:pPr>
                      <w:r w:rsidRPr="00674228">
                        <w:rPr>
                          <w:b/>
                          <w:bCs/>
                          <w:lang w:val="fr-FR"/>
                        </w:rPr>
                        <w:t>Incitation  à la violence et incitation au terrorisme</w:t>
                      </w:r>
                      <w:r>
                        <w:rPr>
                          <w:b/>
                          <w:bCs/>
                          <w:lang w:val="fr-FR"/>
                        </w:rPr>
                        <w:t xml:space="preserve"> </w:t>
                      </w:r>
                    </w:p>
                  </w:txbxContent>
                </v:textbox>
              </v:shape>
            </w:pict>
          </mc:Fallback>
        </mc:AlternateContent>
      </w:r>
      <w:r w:rsidR="008A2CE8" w:rsidRPr="00F015DD">
        <w:rPr>
          <w:rFonts w:asciiTheme="majorHAnsi" w:hAnsiTheme="majorHAnsi"/>
          <w:noProof/>
          <w:color w:val="000000"/>
          <w:sz w:val="22"/>
          <w:szCs w:val="22"/>
          <w:lang w:eastAsia="en-US"/>
        </w:rPr>
        <mc:AlternateContent>
          <mc:Choice Requires="wps">
            <w:drawing>
              <wp:anchor distT="0" distB="0" distL="114300" distR="114300" simplePos="0" relativeHeight="251664384" behindDoc="0" locked="0" layoutInCell="1" allowOverlap="1" wp14:anchorId="340F33E9" wp14:editId="46474E8E">
                <wp:simplePos x="0" y="0"/>
                <wp:positionH relativeFrom="column">
                  <wp:posOffset>619125</wp:posOffset>
                </wp:positionH>
                <wp:positionV relativeFrom="paragraph">
                  <wp:posOffset>2887345</wp:posOffset>
                </wp:positionV>
                <wp:extent cx="4314825" cy="704850"/>
                <wp:effectExtent l="0" t="0" r="635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704850"/>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594ED" w14:textId="01BA1B42" w:rsidR="006E0B44" w:rsidRPr="00674228" w:rsidRDefault="006E0B44" w:rsidP="00674228">
                            <w:pPr>
                              <w:jc w:val="center"/>
                              <w:rPr>
                                <w:b/>
                                <w:bCs/>
                                <w:lang w:val="fr-FR"/>
                              </w:rPr>
                            </w:pPr>
                            <w:r w:rsidRPr="00674228">
                              <w:rPr>
                                <w:b/>
                                <w:bCs/>
                                <w:lang w:val="fr-FR"/>
                              </w:rPr>
                              <w:t>A</w:t>
                            </w:r>
                            <w:r>
                              <w:rPr>
                                <w:b/>
                                <w:bCs/>
                                <w:lang w:val="fr-FR"/>
                              </w:rPr>
                              <w:t xml:space="preserve">utres actes </w:t>
                            </w:r>
                            <w:r w:rsidRPr="00674228">
                              <w:rPr>
                                <w:b/>
                                <w:bCs/>
                                <w:lang w:val="fr-FR"/>
                              </w:rPr>
                              <w:t xml:space="preserve">qui </w:t>
                            </w:r>
                            <w:r>
                              <w:rPr>
                                <w:b/>
                                <w:bCs/>
                                <w:lang w:val="fr-FR"/>
                              </w:rPr>
                              <w:t>diffusent</w:t>
                            </w:r>
                            <w:r w:rsidRPr="00674228">
                              <w:rPr>
                                <w:b/>
                                <w:bCs/>
                                <w:lang w:val="fr-FR"/>
                              </w:rPr>
                              <w:t xml:space="preserve"> et propa</w:t>
                            </w:r>
                            <w:r>
                              <w:rPr>
                                <w:b/>
                                <w:bCs/>
                                <w:lang w:val="fr-FR"/>
                              </w:rPr>
                              <w:t xml:space="preserve">gent les hostilités, la haine, les </w:t>
                            </w:r>
                            <w:proofErr w:type="spellStart"/>
                            <w:r>
                              <w:rPr>
                                <w:b/>
                                <w:bCs/>
                                <w:lang w:val="fr-FR"/>
                              </w:rPr>
                              <w:t>stereotypes</w:t>
                            </w:r>
                            <w:proofErr w:type="spellEnd"/>
                            <w:r>
                              <w:rPr>
                                <w:b/>
                                <w:bCs/>
                                <w:lang w:val="fr-FR"/>
                              </w:rPr>
                              <w:t xml:space="preserve"> </w:t>
                            </w:r>
                            <w:proofErr w:type="spellStart"/>
                            <w:r>
                              <w:rPr>
                                <w:b/>
                                <w:bCs/>
                                <w:lang w:val="fr-FR"/>
                              </w:rPr>
                              <w:t>negatifs</w:t>
                            </w:r>
                            <w:proofErr w:type="spellEnd"/>
                            <w:r>
                              <w:rPr>
                                <w:b/>
                                <w:bCs/>
                                <w:lang w:val="fr-FR"/>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48.75pt;margin-top:227.35pt;width:339.7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" fillcolor="#92cddc [1944]" stroked="f">
                <v:textbox>
                  <w:txbxContent>
                    <w:p w14:paraId="328594ED" w14:textId="01BA1B42" w:rsidR="006E0B44" w:rsidRPr="00674228" w:rsidRDefault="006E0B44" w:rsidP="00674228">
                      <w:pPr>
                        <w:jc w:val="center"/>
                        <w:rPr>
                          <w:b/>
                          <w:bCs/>
                          <w:lang w:val="fr-FR"/>
                        </w:rPr>
                      </w:pPr>
                      <w:r w:rsidRPr="00674228">
                        <w:rPr>
                          <w:b/>
                          <w:bCs/>
                          <w:lang w:val="fr-FR"/>
                        </w:rPr>
                        <w:t>A</w:t>
                      </w:r>
                      <w:r>
                        <w:rPr>
                          <w:b/>
                          <w:bCs/>
                          <w:lang w:val="fr-FR"/>
                        </w:rPr>
                        <w:t xml:space="preserve">utres actes </w:t>
                      </w:r>
                      <w:r w:rsidRPr="00674228">
                        <w:rPr>
                          <w:b/>
                          <w:bCs/>
                          <w:lang w:val="fr-FR"/>
                        </w:rPr>
                        <w:t xml:space="preserve">qui </w:t>
                      </w:r>
                      <w:r>
                        <w:rPr>
                          <w:b/>
                          <w:bCs/>
                          <w:lang w:val="fr-FR"/>
                        </w:rPr>
                        <w:t>diffusent</w:t>
                      </w:r>
                      <w:r w:rsidRPr="00674228">
                        <w:rPr>
                          <w:b/>
                          <w:bCs/>
                          <w:lang w:val="fr-FR"/>
                        </w:rPr>
                        <w:t xml:space="preserve"> et propa</w:t>
                      </w:r>
                      <w:r>
                        <w:rPr>
                          <w:b/>
                          <w:bCs/>
                          <w:lang w:val="fr-FR"/>
                        </w:rPr>
                        <w:t xml:space="preserve">gent les hostilités, la haine, les </w:t>
                      </w:r>
                      <w:proofErr w:type="spellStart"/>
                      <w:r>
                        <w:rPr>
                          <w:b/>
                          <w:bCs/>
                          <w:lang w:val="fr-FR"/>
                        </w:rPr>
                        <w:t>stereotypes</w:t>
                      </w:r>
                      <w:proofErr w:type="spellEnd"/>
                      <w:r>
                        <w:rPr>
                          <w:b/>
                          <w:bCs/>
                          <w:lang w:val="fr-FR"/>
                        </w:rPr>
                        <w:t xml:space="preserve"> </w:t>
                      </w:r>
                      <w:proofErr w:type="spellStart"/>
                      <w:r>
                        <w:rPr>
                          <w:b/>
                          <w:bCs/>
                          <w:lang w:val="fr-FR"/>
                        </w:rPr>
                        <w:t>negatifs</w:t>
                      </w:r>
                      <w:proofErr w:type="spellEnd"/>
                      <w:r>
                        <w:rPr>
                          <w:b/>
                          <w:bCs/>
                          <w:lang w:val="fr-FR"/>
                        </w:rPr>
                        <w:t>.</w:t>
                      </w:r>
                    </w:p>
                  </w:txbxContent>
                </v:textbox>
              </v:shape>
            </w:pict>
          </mc:Fallback>
        </mc:AlternateContent>
      </w:r>
      <w:r w:rsidR="008A2CE8" w:rsidRPr="00F015DD">
        <w:rPr>
          <w:rFonts w:asciiTheme="majorHAnsi" w:hAnsiTheme="majorHAnsi"/>
          <w:noProof/>
          <w:color w:val="000000"/>
          <w:sz w:val="22"/>
          <w:szCs w:val="22"/>
          <w:lang w:eastAsia="en-US"/>
        </w:rPr>
        <mc:AlternateContent>
          <mc:Choice Requires="wps">
            <w:drawing>
              <wp:anchor distT="0" distB="0" distL="114300" distR="114300" simplePos="0" relativeHeight="251662336" behindDoc="0" locked="0" layoutInCell="1" allowOverlap="1" wp14:anchorId="389D806B" wp14:editId="0D5452C1">
                <wp:simplePos x="0" y="0"/>
                <wp:positionH relativeFrom="column">
                  <wp:posOffset>2124075</wp:posOffset>
                </wp:positionH>
                <wp:positionV relativeFrom="paragraph">
                  <wp:posOffset>1582420</wp:posOffset>
                </wp:positionV>
                <wp:extent cx="1257300" cy="479425"/>
                <wp:effectExtent l="3175" t="0" r="0" b="317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9425"/>
                        </a:xfrm>
                        <a:prstGeom prst="rect">
                          <a:avLst/>
                        </a:prstGeom>
                        <a:solidFill>
                          <a:schemeClr val="accent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400CB" w14:textId="77777777" w:rsidR="006E0B44" w:rsidRPr="00674228" w:rsidRDefault="006E0B44" w:rsidP="00674228">
                            <w:pPr>
                              <w:jc w:val="center"/>
                              <w:rPr>
                                <w:b/>
                                <w:bCs/>
                                <w:lang w:val="fr-FR"/>
                              </w:rPr>
                            </w:pPr>
                            <w:r w:rsidRPr="00674228">
                              <w:rPr>
                                <w:b/>
                                <w:bCs/>
                                <w:lang w:val="fr-FR"/>
                              </w:rPr>
                              <w:t>Incitation à la discrimination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67.25pt;margin-top:124.6pt;width:99pt;height:3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" fillcolor="#e5b8b7 [1301]" stroked="f">
                <v:textbox>
                  <w:txbxContent>
                    <w:p w14:paraId="004400CB" w14:textId="77777777" w:rsidR="006E0B44" w:rsidRPr="00674228" w:rsidRDefault="006E0B44" w:rsidP="00674228">
                      <w:pPr>
                        <w:jc w:val="center"/>
                        <w:rPr>
                          <w:b/>
                          <w:bCs/>
                          <w:lang w:val="fr-FR"/>
                        </w:rPr>
                      </w:pPr>
                      <w:r w:rsidRPr="00674228">
                        <w:rPr>
                          <w:b/>
                          <w:bCs/>
                          <w:lang w:val="fr-FR"/>
                        </w:rPr>
                        <w:t>Incitation à la discrimination</w:t>
                      </w:r>
                    </w:p>
                  </w:txbxContent>
                </v:textbox>
              </v:shape>
            </w:pict>
          </mc:Fallback>
        </mc:AlternateContent>
      </w:r>
      <w:r w:rsidR="00674228" w:rsidRPr="00F015DD">
        <w:rPr>
          <w:noProof/>
          <w:lang w:eastAsia="en-US"/>
        </w:rPr>
        <w:drawing>
          <wp:inline distT="0" distB="0" distL="0" distR="0" wp14:anchorId="76F76D55" wp14:editId="0D2A5110">
            <wp:extent cx="5486400" cy="363766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637663"/>
                    </a:xfrm>
                    <a:prstGeom prst="rect">
                      <a:avLst/>
                    </a:prstGeom>
                    <a:noFill/>
                    <a:ln>
                      <a:noFill/>
                    </a:ln>
                  </pic:spPr>
                </pic:pic>
              </a:graphicData>
            </a:graphic>
          </wp:inline>
        </w:drawing>
      </w:r>
      <w:r w:rsidR="008A2CE8" w:rsidRPr="00F015DD">
        <w:rPr>
          <w:rFonts w:asciiTheme="majorHAnsi" w:hAnsiTheme="majorHAnsi"/>
          <w:noProof/>
          <w:color w:val="000000"/>
          <w:sz w:val="22"/>
          <w:szCs w:val="22"/>
          <w:lang w:eastAsia="en-US"/>
        </w:rPr>
        <mc:AlternateContent>
          <mc:Choice Requires="wps">
            <w:drawing>
              <wp:anchor distT="0" distB="0" distL="114300" distR="114300" simplePos="0" relativeHeight="251660288" behindDoc="0" locked="0" layoutInCell="1" allowOverlap="1" wp14:anchorId="2B749DF8" wp14:editId="33DCEDB0">
                <wp:simplePos x="0" y="0"/>
                <wp:positionH relativeFrom="column">
                  <wp:posOffset>2228850</wp:posOffset>
                </wp:positionH>
                <wp:positionV relativeFrom="paragraph">
                  <wp:posOffset>172720</wp:posOffset>
                </wp:positionV>
                <wp:extent cx="1047750" cy="479425"/>
                <wp:effectExtent l="6350" t="0" r="0" b="317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79425"/>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39509" w14:textId="77777777" w:rsidR="006E0B44" w:rsidRPr="00674228" w:rsidRDefault="006E0B44" w:rsidP="00674228">
                            <w:pPr>
                              <w:jc w:val="center"/>
                              <w:rPr>
                                <w:b/>
                                <w:bCs/>
                                <w:lang w:val="fr-FR"/>
                              </w:rPr>
                            </w:pPr>
                            <w:r w:rsidRPr="00674228">
                              <w:rPr>
                                <w:b/>
                                <w:bCs/>
                                <w:lang w:val="fr-FR"/>
                              </w:rPr>
                              <w:t>Incitation au Génocide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left:0;text-align:left;margin-left:175.5pt;margin-top:13.6pt;width:82.5pt;height: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" fillcolor="#943634 [2405]" stroked="f">
                <v:textbox>
                  <w:txbxContent>
                    <w:p w14:paraId="4AA39509" w14:textId="77777777" w:rsidR="006E0B44" w:rsidRPr="00674228" w:rsidRDefault="006E0B44" w:rsidP="00674228">
                      <w:pPr>
                        <w:jc w:val="center"/>
                        <w:rPr>
                          <w:b/>
                          <w:bCs/>
                          <w:lang w:val="fr-FR"/>
                        </w:rPr>
                      </w:pPr>
                      <w:r w:rsidRPr="00674228">
                        <w:rPr>
                          <w:b/>
                          <w:bCs/>
                          <w:lang w:val="fr-FR"/>
                        </w:rPr>
                        <w:t>Incitation au Génocide</w:t>
                      </w:r>
                    </w:p>
                  </w:txbxContent>
                </v:textbox>
              </v:shape>
            </w:pict>
          </mc:Fallback>
        </mc:AlternateContent>
      </w:r>
    </w:p>
    <w:p w14:paraId="2EF730B1" w14:textId="6903A719" w:rsidR="008C58CD" w:rsidRPr="00F015DD" w:rsidRDefault="00682AA4" w:rsidP="00EA3516">
      <w:pPr>
        <w:widowControl w:val="0"/>
        <w:autoSpaceDE w:val="0"/>
        <w:autoSpaceDN w:val="0"/>
        <w:adjustRightInd w:val="0"/>
        <w:spacing w:after="240"/>
        <w:jc w:val="both"/>
        <w:rPr>
          <w:rFonts w:asciiTheme="majorHAnsi" w:hAnsiTheme="majorHAnsi"/>
          <w:i/>
          <w:sz w:val="22"/>
          <w:szCs w:val="22"/>
          <w:lang w:val="fr-FR"/>
        </w:rPr>
      </w:pPr>
      <w:r w:rsidRPr="00F015DD">
        <w:rPr>
          <w:rFonts w:asciiTheme="majorHAnsi" w:hAnsiTheme="majorHAnsi"/>
          <w:i/>
          <w:sz w:val="22"/>
          <w:szCs w:val="22"/>
          <w:lang w:val="fr-FR"/>
        </w:rPr>
        <w:t>Schéma</w:t>
      </w:r>
      <w:r w:rsidR="008C58CD" w:rsidRPr="00F015DD">
        <w:rPr>
          <w:rFonts w:asciiTheme="majorHAnsi" w:hAnsiTheme="majorHAnsi"/>
          <w:i/>
          <w:sz w:val="22"/>
          <w:szCs w:val="22"/>
          <w:lang w:val="fr-FR"/>
        </w:rPr>
        <w:t xml:space="preserve"> 1: </w:t>
      </w:r>
      <w:r w:rsidRPr="00F015DD">
        <w:rPr>
          <w:rFonts w:asciiTheme="majorHAnsi" w:hAnsiTheme="majorHAnsi"/>
          <w:i/>
          <w:sz w:val="22"/>
          <w:szCs w:val="22"/>
          <w:lang w:val="fr-FR"/>
        </w:rPr>
        <w:t xml:space="preserve">Typologie de l'incitation et </w:t>
      </w:r>
      <w:r w:rsidR="00C46469" w:rsidRPr="00F015DD">
        <w:rPr>
          <w:rFonts w:asciiTheme="majorHAnsi" w:hAnsiTheme="majorHAnsi"/>
          <w:i/>
          <w:sz w:val="22"/>
          <w:szCs w:val="22"/>
          <w:lang w:val="fr-FR"/>
        </w:rPr>
        <w:t>de l'expression haineuse</w:t>
      </w:r>
      <w:r w:rsidR="00B93841">
        <w:rPr>
          <w:rStyle w:val="FootnoteReference"/>
          <w:rFonts w:asciiTheme="majorHAnsi" w:hAnsiTheme="majorHAnsi"/>
          <w:i/>
          <w:sz w:val="22"/>
          <w:szCs w:val="22"/>
          <w:lang w:val="fr-FR"/>
        </w:rPr>
        <w:footnoteReference w:id="23"/>
      </w:r>
      <w:r w:rsidRPr="00F015DD">
        <w:rPr>
          <w:rFonts w:asciiTheme="majorHAnsi" w:hAnsiTheme="majorHAnsi"/>
          <w:i/>
          <w:sz w:val="22"/>
          <w:szCs w:val="22"/>
          <w:lang w:val="fr-FR"/>
        </w:rPr>
        <w:t xml:space="preserve"> </w:t>
      </w:r>
    </w:p>
    <w:p w14:paraId="1041E945" w14:textId="71D5C44B" w:rsidR="002E501A" w:rsidRPr="00F015DD" w:rsidRDefault="00362877" w:rsidP="002E501A">
      <w:pPr>
        <w:widowControl w:val="0"/>
        <w:autoSpaceDE w:val="0"/>
        <w:autoSpaceDN w:val="0"/>
        <w:adjustRightInd w:val="0"/>
        <w:spacing w:after="240"/>
        <w:jc w:val="both"/>
        <w:rPr>
          <w:rFonts w:asciiTheme="majorHAnsi" w:hAnsiTheme="majorHAnsi"/>
          <w:sz w:val="22"/>
          <w:szCs w:val="22"/>
          <w:lang w:val="fr-FR"/>
        </w:rPr>
      </w:pPr>
      <w:r w:rsidRPr="00F015DD">
        <w:rPr>
          <w:rFonts w:asciiTheme="majorHAnsi" w:hAnsiTheme="majorHAnsi"/>
          <w:sz w:val="22"/>
          <w:szCs w:val="22"/>
          <w:lang w:val="fr-FR"/>
        </w:rPr>
        <w:t xml:space="preserve">Selon le droit international des droits de l’homme, </w:t>
      </w:r>
      <w:r w:rsidR="00C46469" w:rsidRPr="00F015DD">
        <w:rPr>
          <w:rFonts w:asciiTheme="majorHAnsi" w:hAnsiTheme="majorHAnsi"/>
          <w:sz w:val="22"/>
          <w:szCs w:val="22"/>
          <w:lang w:val="fr-FR"/>
        </w:rPr>
        <w:t>l'expression</w:t>
      </w:r>
      <w:r w:rsidRPr="00F015DD">
        <w:rPr>
          <w:rFonts w:asciiTheme="majorHAnsi" w:hAnsiTheme="majorHAnsi"/>
          <w:sz w:val="22"/>
          <w:szCs w:val="22"/>
          <w:lang w:val="fr-FR"/>
        </w:rPr>
        <w:t xml:space="preserve"> d’incitation constitue donc une forme de discours </w:t>
      </w:r>
      <w:r w:rsidR="002E501A" w:rsidRPr="00F015DD">
        <w:rPr>
          <w:rFonts w:asciiTheme="majorHAnsi" w:hAnsiTheme="majorHAnsi"/>
          <w:sz w:val="22"/>
          <w:szCs w:val="22"/>
          <w:lang w:val="fr-FR"/>
        </w:rPr>
        <w:t xml:space="preserve">haineux </w:t>
      </w:r>
      <w:r w:rsidRPr="00F015DD">
        <w:rPr>
          <w:rFonts w:asciiTheme="majorHAnsi" w:hAnsiTheme="majorHAnsi"/>
          <w:sz w:val="22"/>
          <w:szCs w:val="22"/>
          <w:lang w:val="fr-FR"/>
        </w:rPr>
        <w:t xml:space="preserve">particulièrement détestable qui est spécifiquement défini et </w:t>
      </w:r>
      <w:r w:rsidR="00152616" w:rsidRPr="00F015DD">
        <w:rPr>
          <w:rFonts w:asciiTheme="majorHAnsi" w:hAnsiTheme="majorHAnsi"/>
          <w:sz w:val="22"/>
          <w:szCs w:val="22"/>
          <w:lang w:val="fr-FR"/>
        </w:rPr>
        <w:t xml:space="preserve">repéré pour une intervention spécifique par l’Etat. Cela est dû à ce qu’on appelle le “triangle de la haine”. </w:t>
      </w:r>
      <w:r w:rsidR="00FF068E" w:rsidRPr="00F015DD">
        <w:rPr>
          <w:rFonts w:asciiTheme="majorHAnsi" w:hAnsiTheme="majorHAnsi"/>
          <w:sz w:val="22"/>
          <w:szCs w:val="22"/>
          <w:lang w:val="fr-FR"/>
        </w:rPr>
        <w:t>L</w:t>
      </w:r>
      <w:r w:rsidR="00C46469" w:rsidRPr="00F015DD">
        <w:rPr>
          <w:rFonts w:asciiTheme="majorHAnsi" w:hAnsiTheme="majorHAnsi"/>
          <w:sz w:val="22"/>
          <w:szCs w:val="22"/>
          <w:lang w:val="fr-FR"/>
        </w:rPr>
        <w:t>'expression</w:t>
      </w:r>
      <w:r w:rsidR="00152616" w:rsidRPr="00F015DD">
        <w:rPr>
          <w:rFonts w:asciiTheme="majorHAnsi" w:hAnsiTheme="majorHAnsi"/>
          <w:sz w:val="22"/>
          <w:szCs w:val="22"/>
          <w:lang w:val="fr-FR"/>
        </w:rPr>
        <w:t xml:space="preserve"> d’incitation suppose l’existence d’une audience prête à agir contre un groupe cible. </w:t>
      </w:r>
      <w:r w:rsidR="002E501A" w:rsidRPr="00F015DD">
        <w:rPr>
          <w:rFonts w:asciiTheme="majorHAnsi" w:hAnsiTheme="majorHAnsi"/>
          <w:sz w:val="22"/>
          <w:szCs w:val="22"/>
          <w:lang w:val="fr-FR"/>
        </w:rPr>
        <w:t xml:space="preserve">Jeroen </w:t>
      </w:r>
      <w:proofErr w:type="spellStart"/>
      <w:r w:rsidR="002E501A" w:rsidRPr="00F015DD">
        <w:rPr>
          <w:rFonts w:asciiTheme="majorHAnsi" w:hAnsiTheme="majorHAnsi"/>
          <w:sz w:val="22"/>
          <w:szCs w:val="22"/>
          <w:lang w:val="fr-FR"/>
        </w:rPr>
        <w:t>Temperman</w:t>
      </w:r>
      <w:proofErr w:type="spellEnd"/>
      <w:r w:rsidR="002E501A" w:rsidRPr="00F015DD">
        <w:rPr>
          <w:rFonts w:asciiTheme="majorHAnsi" w:hAnsiTheme="majorHAnsi"/>
          <w:sz w:val="22"/>
          <w:szCs w:val="22"/>
          <w:lang w:val="fr-FR"/>
        </w:rPr>
        <w:t xml:space="preserve"> a </w:t>
      </w:r>
      <w:proofErr w:type="spellStart"/>
      <w:r w:rsidR="002E501A" w:rsidRPr="00F015DD">
        <w:rPr>
          <w:rFonts w:asciiTheme="majorHAnsi" w:hAnsiTheme="majorHAnsi"/>
          <w:sz w:val="22"/>
          <w:szCs w:val="22"/>
          <w:lang w:val="fr-FR"/>
        </w:rPr>
        <w:t>represent</w:t>
      </w:r>
      <w:r w:rsidR="00B5600E" w:rsidRPr="00F015DD">
        <w:rPr>
          <w:rFonts w:asciiTheme="majorHAnsi" w:hAnsiTheme="majorHAnsi"/>
          <w:sz w:val="22"/>
          <w:szCs w:val="22"/>
          <w:lang w:val="fr-FR"/>
        </w:rPr>
        <w:t>é</w:t>
      </w:r>
      <w:proofErr w:type="spellEnd"/>
      <w:r w:rsidR="00B5600E" w:rsidRPr="00F015DD">
        <w:rPr>
          <w:rFonts w:asciiTheme="majorHAnsi" w:hAnsiTheme="majorHAnsi"/>
          <w:sz w:val="22"/>
          <w:szCs w:val="22"/>
          <w:lang w:val="fr-FR"/>
        </w:rPr>
        <w:t xml:space="preserve"> </w:t>
      </w:r>
      <w:r w:rsidR="002E501A" w:rsidRPr="00F015DD">
        <w:rPr>
          <w:rFonts w:asciiTheme="majorHAnsi" w:hAnsiTheme="majorHAnsi"/>
          <w:sz w:val="22"/>
          <w:szCs w:val="22"/>
          <w:lang w:val="fr-FR"/>
        </w:rPr>
        <w:t>ces dynamiques sous la forme d</w:t>
      </w:r>
      <w:r w:rsidR="00B5600E" w:rsidRPr="00F015DD">
        <w:rPr>
          <w:rFonts w:asciiTheme="majorHAnsi" w:hAnsiTheme="majorHAnsi"/>
          <w:sz w:val="22"/>
          <w:szCs w:val="22"/>
          <w:lang w:val="fr-FR"/>
        </w:rPr>
        <w:t xml:space="preserve">u </w:t>
      </w:r>
      <w:r w:rsidR="002E501A" w:rsidRPr="00F015DD">
        <w:rPr>
          <w:rFonts w:asciiTheme="majorHAnsi" w:hAnsiTheme="majorHAnsi"/>
          <w:sz w:val="22"/>
          <w:szCs w:val="22"/>
          <w:lang w:val="fr-FR"/>
        </w:rPr>
        <w:t>triangle</w:t>
      </w:r>
      <w:r w:rsidR="00B5600E" w:rsidRPr="00F015DD">
        <w:rPr>
          <w:rFonts w:asciiTheme="majorHAnsi" w:hAnsiTheme="majorHAnsi"/>
          <w:sz w:val="22"/>
          <w:szCs w:val="22"/>
          <w:lang w:val="fr-FR"/>
        </w:rPr>
        <w:t xml:space="preserve"> ci-dessous</w:t>
      </w:r>
      <w:r w:rsidR="002E501A" w:rsidRPr="00F015DD">
        <w:rPr>
          <w:rFonts w:asciiTheme="majorHAnsi" w:hAnsiTheme="majorHAnsi"/>
          <w:sz w:val="22"/>
          <w:szCs w:val="22"/>
          <w:lang w:val="fr-FR"/>
        </w:rPr>
        <w:t>:</w:t>
      </w:r>
      <w:r w:rsidR="002E501A" w:rsidRPr="00F015DD">
        <w:rPr>
          <w:rStyle w:val="FootnoteReference"/>
          <w:rFonts w:asciiTheme="majorHAnsi" w:hAnsiTheme="majorHAnsi"/>
          <w:sz w:val="22"/>
          <w:szCs w:val="22"/>
          <w:lang w:val="fr-FR"/>
        </w:rPr>
        <w:footnoteReference w:id="24"/>
      </w:r>
    </w:p>
    <w:p w14:paraId="5C13CCD7" w14:textId="3A42044E" w:rsidR="002F0AFF" w:rsidRPr="00F015DD" w:rsidRDefault="002F0AFF" w:rsidP="00152616">
      <w:pPr>
        <w:widowControl w:val="0"/>
        <w:autoSpaceDE w:val="0"/>
        <w:autoSpaceDN w:val="0"/>
        <w:adjustRightInd w:val="0"/>
        <w:spacing w:after="240"/>
        <w:jc w:val="both"/>
        <w:rPr>
          <w:rFonts w:asciiTheme="majorHAnsi" w:hAnsiTheme="majorHAnsi"/>
          <w:sz w:val="22"/>
          <w:szCs w:val="22"/>
          <w:lang w:val="fr-FR"/>
        </w:rPr>
      </w:pPr>
    </w:p>
    <w:p w14:paraId="7EA64C70" w14:textId="77777777" w:rsidR="006675FB" w:rsidRPr="00F015DD" w:rsidRDefault="008E02D4" w:rsidP="00EA3516">
      <w:pPr>
        <w:widowControl w:val="0"/>
        <w:autoSpaceDE w:val="0"/>
        <w:autoSpaceDN w:val="0"/>
        <w:adjustRightInd w:val="0"/>
        <w:spacing w:after="240"/>
        <w:jc w:val="both"/>
        <w:rPr>
          <w:rFonts w:asciiTheme="majorHAnsi" w:hAnsiTheme="majorHAnsi"/>
          <w:sz w:val="22"/>
          <w:szCs w:val="22"/>
          <w:lang w:val="fr-FR"/>
        </w:rPr>
      </w:pPr>
      <w:r w:rsidRPr="00F015DD">
        <w:rPr>
          <w:rFonts w:asciiTheme="majorHAnsi" w:hAnsiTheme="majorHAnsi"/>
          <w:noProof/>
          <w:sz w:val="22"/>
          <w:szCs w:val="22"/>
          <w:lang w:eastAsia="en-US"/>
        </w:rPr>
        <w:drawing>
          <wp:inline distT="0" distB="0" distL="0" distR="0" wp14:anchorId="3D97546D" wp14:editId="718EAB1E">
            <wp:extent cx="5260063" cy="28948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png"/>
                    <pic:cNvPicPr/>
                  </pic:nvPicPr>
                  <pic:blipFill>
                    <a:blip r:embed="rId10">
                      <a:extLst>
                        <a:ext uri="{28A0092B-C50C-407E-A947-70E740481C1C}">
                          <a14:useLocalDpi xmlns:a14="http://schemas.microsoft.com/office/drawing/2010/main" val="0"/>
                        </a:ext>
                      </a:extLst>
                    </a:blip>
                    <a:stretch>
                      <a:fillRect/>
                    </a:stretch>
                  </pic:blipFill>
                  <pic:spPr>
                    <a:xfrm>
                      <a:off x="0" y="0"/>
                      <a:ext cx="5260063" cy="2894861"/>
                    </a:xfrm>
                    <a:prstGeom prst="rect">
                      <a:avLst/>
                    </a:prstGeom>
                  </pic:spPr>
                </pic:pic>
              </a:graphicData>
            </a:graphic>
          </wp:inline>
        </w:drawing>
      </w:r>
      <w:r w:rsidR="008A2CE8" w:rsidRPr="00F015DD">
        <w:rPr>
          <w:rFonts w:asciiTheme="majorHAnsi" w:hAnsiTheme="majorHAnsi"/>
          <w:b/>
          <w:i/>
          <w:noProof/>
          <w:sz w:val="22"/>
          <w:szCs w:val="22"/>
          <w:lang w:eastAsia="en-US"/>
        </w:rPr>
        <mc:AlternateContent>
          <mc:Choice Requires="wps">
            <w:drawing>
              <wp:anchor distT="0" distB="0" distL="114300" distR="114300" simplePos="0" relativeHeight="251668480" behindDoc="0" locked="0" layoutInCell="1" allowOverlap="1" wp14:anchorId="09478FB8" wp14:editId="19613606">
                <wp:simplePos x="0" y="0"/>
                <wp:positionH relativeFrom="column">
                  <wp:posOffset>3286125</wp:posOffset>
                </wp:positionH>
                <wp:positionV relativeFrom="paragraph">
                  <wp:posOffset>1130300</wp:posOffset>
                </wp:positionV>
                <wp:extent cx="1762125" cy="611505"/>
                <wp:effectExtent l="0" t="1270" r="635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61150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9571B" w14:textId="77777777" w:rsidR="006E0B44" w:rsidRPr="00BF0EB3" w:rsidRDefault="006E0B44" w:rsidP="00BF0EB3">
                            <w:pPr>
                              <w:jc w:val="center"/>
                              <w:rPr>
                                <w:b/>
                                <w:bCs/>
                                <w:sz w:val="28"/>
                                <w:szCs w:val="28"/>
                                <w:lang w:val="fr-FR"/>
                              </w:rPr>
                            </w:pPr>
                            <w:r>
                              <w:rPr>
                                <w:b/>
                                <w:bCs/>
                                <w:sz w:val="28"/>
                                <w:szCs w:val="28"/>
                                <w:lang w:val="fr-FR"/>
                              </w:rPr>
                              <w:t>Possibilité de résultats prescrits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258.75pt;margin-top:89pt;width:138.75pt;height:4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" fillcolor="white [3212]" stroked="f">
                <v:textbox>
                  <w:txbxContent>
                    <w:p w14:paraId="13E9571B" w14:textId="77777777" w:rsidR="006E0B44" w:rsidRPr="00BF0EB3" w:rsidRDefault="006E0B44" w:rsidP="00BF0EB3">
                      <w:pPr>
                        <w:jc w:val="center"/>
                        <w:rPr>
                          <w:b/>
                          <w:bCs/>
                          <w:sz w:val="28"/>
                          <w:szCs w:val="28"/>
                          <w:lang w:val="fr-FR"/>
                        </w:rPr>
                      </w:pPr>
                      <w:r>
                        <w:rPr>
                          <w:b/>
                          <w:bCs/>
                          <w:sz w:val="28"/>
                          <w:szCs w:val="28"/>
                          <w:lang w:val="fr-FR"/>
                        </w:rPr>
                        <w:t>Possibilité de résultats prescrits</w:t>
                      </w:r>
                    </w:p>
                  </w:txbxContent>
                </v:textbox>
              </v:shape>
            </w:pict>
          </mc:Fallback>
        </mc:AlternateContent>
      </w:r>
      <w:r w:rsidR="008A2CE8" w:rsidRPr="00F015DD">
        <w:rPr>
          <w:rFonts w:asciiTheme="majorHAnsi" w:hAnsiTheme="majorHAnsi"/>
          <w:b/>
          <w:i/>
          <w:noProof/>
          <w:sz w:val="22"/>
          <w:szCs w:val="22"/>
          <w:lang w:eastAsia="en-US"/>
        </w:rPr>
        <mc:AlternateContent>
          <mc:Choice Requires="wps">
            <w:drawing>
              <wp:anchor distT="0" distB="0" distL="114300" distR="114300" simplePos="0" relativeHeight="251669504" behindDoc="0" locked="0" layoutInCell="1" allowOverlap="1" wp14:anchorId="41625627" wp14:editId="748FE511">
                <wp:simplePos x="0" y="0"/>
                <wp:positionH relativeFrom="column">
                  <wp:posOffset>3657600</wp:posOffset>
                </wp:positionH>
                <wp:positionV relativeFrom="paragraph">
                  <wp:posOffset>2237105</wp:posOffset>
                </wp:positionV>
                <wp:extent cx="1701165" cy="390525"/>
                <wp:effectExtent l="0" t="3175" r="635"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9052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8D3B9" w14:textId="77777777" w:rsidR="006E0B44" w:rsidRPr="00BF0EB3" w:rsidRDefault="006E0B44" w:rsidP="00BF0EB3">
                            <w:pPr>
                              <w:jc w:val="center"/>
                              <w:rPr>
                                <w:b/>
                                <w:bCs/>
                                <w:color w:val="0070C0"/>
                                <w:sz w:val="28"/>
                                <w:szCs w:val="28"/>
                                <w:lang w:val="fr-FR"/>
                              </w:rPr>
                            </w:pPr>
                            <w:r w:rsidRPr="00BF0EB3">
                              <w:rPr>
                                <w:b/>
                                <w:bCs/>
                                <w:color w:val="0070C0"/>
                                <w:sz w:val="28"/>
                                <w:szCs w:val="28"/>
                                <w:lang w:val="fr-FR"/>
                              </w:rPr>
                              <w:t>Groupe cible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left:0;text-align:left;margin-left:4in;margin-top:176.15pt;width:133.9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" fillcolor="white [3212]" stroked="f">
                <v:textbox>
                  <w:txbxContent>
                    <w:p w14:paraId="40C8D3B9" w14:textId="77777777" w:rsidR="006E0B44" w:rsidRPr="00BF0EB3" w:rsidRDefault="006E0B44" w:rsidP="00BF0EB3">
                      <w:pPr>
                        <w:jc w:val="center"/>
                        <w:rPr>
                          <w:b/>
                          <w:bCs/>
                          <w:color w:val="0070C0"/>
                          <w:sz w:val="28"/>
                          <w:szCs w:val="28"/>
                          <w:lang w:val="fr-FR"/>
                        </w:rPr>
                      </w:pPr>
                      <w:r w:rsidRPr="00BF0EB3">
                        <w:rPr>
                          <w:b/>
                          <w:bCs/>
                          <w:color w:val="0070C0"/>
                          <w:sz w:val="28"/>
                          <w:szCs w:val="28"/>
                          <w:lang w:val="fr-FR"/>
                        </w:rPr>
                        <w:t>Groupe cible</w:t>
                      </w:r>
                    </w:p>
                  </w:txbxContent>
                </v:textbox>
              </v:shape>
            </w:pict>
          </mc:Fallback>
        </mc:AlternateContent>
      </w:r>
      <w:r w:rsidR="008A2CE8" w:rsidRPr="00F015DD">
        <w:rPr>
          <w:rFonts w:asciiTheme="majorHAnsi" w:hAnsiTheme="majorHAnsi"/>
          <w:b/>
          <w:i/>
          <w:noProof/>
          <w:sz w:val="22"/>
          <w:szCs w:val="22"/>
          <w:lang w:eastAsia="en-US"/>
        </w:rPr>
        <mc:AlternateContent>
          <mc:Choice Requires="wps">
            <w:drawing>
              <wp:anchor distT="0" distB="0" distL="114300" distR="114300" simplePos="0" relativeHeight="251667456" behindDoc="0" locked="0" layoutInCell="1" allowOverlap="1" wp14:anchorId="4F53A148" wp14:editId="565F1468">
                <wp:simplePos x="0" y="0"/>
                <wp:positionH relativeFrom="column">
                  <wp:posOffset>323850</wp:posOffset>
                </wp:positionH>
                <wp:positionV relativeFrom="paragraph">
                  <wp:posOffset>1130300</wp:posOffset>
                </wp:positionV>
                <wp:extent cx="1701165" cy="390525"/>
                <wp:effectExtent l="6350" t="1270" r="0" b="190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9052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27A1F" w14:textId="77777777" w:rsidR="006E0B44" w:rsidRPr="00BF0EB3" w:rsidRDefault="006E0B44" w:rsidP="008C0C38">
                            <w:pPr>
                              <w:jc w:val="center"/>
                              <w:rPr>
                                <w:b/>
                                <w:bCs/>
                                <w:sz w:val="28"/>
                                <w:szCs w:val="28"/>
                                <w:lang w:val="fr-FR"/>
                              </w:rPr>
                            </w:pPr>
                            <w:r w:rsidRPr="00BF0EB3">
                              <w:rPr>
                                <w:b/>
                                <w:bCs/>
                                <w:sz w:val="28"/>
                                <w:szCs w:val="28"/>
                                <w:lang w:val="fr-FR"/>
                              </w:rPr>
                              <w:t>Appel à l’Action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left:0;text-align:left;margin-left:25.5pt;margin-top:89pt;width:133.9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" fillcolor="white [3212]" stroked="f">
                <v:textbox>
                  <w:txbxContent>
                    <w:p w14:paraId="0C327A1F" w14:textId="77777777" w:rsidR="006E0B44" w:rsidRPr="00BF0EB3" w:rsidRDefault="006E0B44" w:rsidP="008C0C38">
                      <w:pPr>
                        <w:jc w:val="center"/>
                        <w:rPr>
                          <w:b/>
                          <w:bCs/>
                          <w:sz w:val="28"/>
                          <w:szCs w:val="28"/>
                          <w:lang w:val="fr-FR"/>
                        </w:rPr>
                      </w:pPr>
                      <w:r w:rsidRPr="00BF0EB3">
                        <w:rPr>
                          <w:b/>
                          <w:bCs/>
                          <w:sz w:val="28"/>
                          <w:szCs w:val="28"/>
                          <w:lang w:val="fr-FR"/>
                        </w:rPr>
                        <w:t>Appel à l’Action</w:t>
                      </w:r>
                    </w:p>
                  </w:txbxContent>
                </v:textbox>
              </v:shape>
            </w:pict>
          </mc:Fallback>
        </mc:AlternateContent>
      </w:r>
      <w:r w:rsidR="008A2CE8" w:rsidRPr="00F015DD">
        <w:rPr>
          <w:rFonts w:asciiTheme="majorHAnsi" w:hAnsiTheme="majorHAnsi"/>
          <w:b/>
          <w:i/>
          <w:noProof/>
          <w:sz w:val="22"/>
          <w:szCs w:val="22"/>
          <w:lang w:eastAsia="en-US"/>
        </w:rPr>
        <mc:AlternateContent>
          <mc:Choice Requires="wps">
            <w:drawing>
              <wp:anchor distT="0" distB="0" distL="114300" distR="114300" simplePos="0" relativeHeight="251666432" behindDoc="0" locked="0" layoutInCell="1" allowOverlap="1" wp14:anchorId="189EBE0A" wp14:editId="1CED3A76">
                <wp:simplePos x="0" y="0"/>
                <wp:positionH relativeFrom="column">
                  <wp:posOffset>2025015</wp:posOffset>
                </wp:positionH>
                <wp:positionV relativeFrom="paragraph">
                  <wp:posOffset>446405</wp:posOffset>
                </wp:positionV>
                <wp:extent cx="1156335" cy="299720"/>
                <wp:effectExtent l="0" t="5080" r="635"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564E04" w14:textId="77777777" w:rsidR="006E0B44" w:rsidRPr="008C0C38" w:rsidRDefault="006E0B44" w:rsidP="008C0C38">
                            <w:pPr>
                              <w:jc w:val="center"/>
                              <w:rPr>
                                <w:b/>
                                <w:bCs/>
                                <w:color w:val="FF0000"/>
                                <w:sz w:val="28"/>
                                <w:szCs w:val="28"/>
                                <w:lang w:val="fr-FR"/>
                              </w:rPr>
                            </w:pPr>
                            <w:r w:rsidRPr="008C0C38">
                              <w:rPr>
                                <w:b/>
                                <w:bCs/>
                                <w:color w:val="FF0000"/>
                                <w:sz w:val="28"/>
                                <w:szCs w:val="28"/>
                                <w:lang w:val="fr-FR"/>
                              </w:rPr>
                              <w:t>Orateur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34" type="#_x0000_t202" style="position:absolute;left:0;text-align:left;margin-left:159.45pt;margin-top:35.15pt;width:91.05pt;height:23.6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" stroked="f">
                <v:textbox style="mso-fit-shape-to-text:t">
                  <w:txbxContent>
                    <w:p w14:paraId="63564E04" w14:textId="77777777" w:rsidR="006E0B44" w:rsidRPr="008C0C38" w:rsidRDefault="006E0B44" w:rsidP="008C0C38">
                      <w:pPr>
                        <w:jc w:val="center"/>
                        <w:rPr>
                          <w:b/>
                          <w:bCs/>
                          <w:color w:val="FF0000"/>
                          <w:sz w:val="28"/>
                          <w:szCs w:val="28"/>
                          <w:lang w:val="fr-FR"/>
                        </w:rPr>
                      </w:pPr>
                      <w:r w:rsidRPr="008C0C38">
                        <w:rPr>
                          <w:b/>
                          <w:bCs/>
                          <w:color w:val="FF0000"/>
                          <w:sz w:val="28"/>
                          <w:szCs w:val="28"/>
                          <w:lang w:val="fr-FR"/>
                        </w:rPr>
                        <w:t>Orateur</w:t>
                      </w:r>
                    </w:p>
                  </w:txbxContent>
                </v:textbox>
              </v:shape>
            </w:pict>
          </mc:Fallback>
        </mc:AlternateContent>
      </w:r>
    </w:p>
    <w:p w14:paraId="4CCF59F3" w14:textId="77777777" w:rsidR="008C58CD" w:rsidRPr="00F015DD" w:rsidRDefault="00152616" w:rsidP="00152616">
      <w:pPr>
        <w:rPr>
          <w:rFonts w:asciiTheme="majorHAnsi" w:hAnsiTheme="majorHAnsi"/>
          <w:i/>
          <w:sz w:val="22"/>
          <w:szCs w:val="22"/>
          <w:lang w:val="fr-FR"/>
        </w:rPr>
      </w:pPr>
      <w:proofErr w:type="spellStart"/>
      <w:r w:rsidRPr="00F015DD">
        <w:rPr>
          <w:rFonts w:asciiTheme="majorHAnsi" w:hAnsiTheme="majorHAnsi"/>
          <w:i/>
          <w:sz w:val="22"/>
          <w:szCs w:val="22"/>
          <w:lang w:val="fr-FR"/>
        </w:rPr>
        <w:t>S</w:t>
      </w:r>
      <w:bookmarkStart w:id="0" w:name="_GoBack"/>
      <w:bookmarkEnd w:id="0"/>
      <w:r w:rsidRPr="00F015DD">
        <w:rPr>
          <w:rFonts w:asciiTheme="majorHAnsi" w:hAnsiTheme="majorHAnsi"/>
          <w:i/>
          <w:sz w:val="22"/>
          <w:szCs w:val="22"/>
          <w:lang w:val="fr-FR"/>
        </w:rPr>
        <w:t>héma</w:t>
      </w:r>
      <w:proofErr w:type="spellEnd"/>
      <w:r w:rsidR="008C58CD" w:rsidRPr="00F015DD">
        <w:rPr>
          <w:rFonts w:asciiTheme="majorHAnsi" w:hAnsiTheme="majorHAnsi"/>
          <w:i/>
          <w:sz w:val="22"/>
          <w:szCs w:val="22"/>
          <w:lang w:val="fr-FR"/>
        </w:rPr>
        <w:t xml:space="preserve"> 2: </w:t>
      </w:r>
      <w:r w:rsidRPr="00F015DD">
        <w:rPr>
          <w:rFonts w:asciiTheme="majorHAnsi" w:hAnsiTheme="majorHAnsi"/>
          <w:i/>
          <w:sz w:val="22"/>
          <w:szCs w:val="22"/>
          <w:lang w:val="fr-FR"/>
        </w:rPr>
        <w:t xml:space="preserve">L’incitation et le triangle de la haine </w:t>
      </w:r>
      <w:r w:rsidR="008C58CD" w:rsidRPr="00F015DD">
        <w:rPr>
          <w:rFonts w:asciiTheme="majorHAnsi" w:hAnsiTheme="majorHAnsi"/>
          <w:i/>
          <w:sz w:val="22"/>
          <w:szCs w:val="22"/>
          <w:lang w:val="fr-FR"/>
        </w:rPr>
        <w:t xml:space="preserve"> </w:t>
      </w:r>
    </w:p>
    <w:p w14:paraId="49BAA375" w14:textId="77777777" w:rsidR="008C58CD" w:rsidRDefault="008C58CD" w:rsidP="000B1B64">
      <w:pPr>
        <w:rPr>
          <w:rFonts w:asciiTheme="majorHAnsi" w:hAnsiTheme="majorHAnsi"/>
          <w:b/>
          <w:i/>
          <w:sz w:val="22"/>
          <w:szCs w:val="22"/>
          <w:lang w:val="fr-FR"/>
        </w:rPr>
      </w:pPr>
    </w:p>
    <w:p w14:paraId="31FA1C02" w14:textId="77777777" w:rsidR="00A83B70" w:rsidRDefault="00A83B70" w:rsidP="000B1B64">
      <w:pPr>
        <w:rPr>
          <w:rFonts w:asciiTheme="majorHAnsi" w:hAnsiTheme="majorHAnsi"/>
          <w:b/>
          <w:i/>
          <w:sz w:val="22"/>
          <w:szCs w:val="22"/>
          <w:lang w:val="fr-FR"/>
        </w:rPr>
      </w:pPr>
    </w:p>
    <w:p w14:paraId="631141C8" w14:textId="030FAE2F" w:rsidR="00A83B70" w:rsidRDefault="006E0B44" w:rsidP="000B1B64">
      <w:pPr>
        <w:rPr>
          <w:rFonts w:asciiTheme="majorHAnsi" w:hAnsiTheme="majorHAnsi"/>
          <w:b/>
          <w:i/>
          <w:sz w:val="22"/>
          <w:szCs w:val="22"/>
          <w:lang w:val="fr-FR"/>
        </w:rPr>
      </w:pPr>
      <w:r w:rsidRPr="006E0B44">
        <w:rPr>
          <w:rFonts w:ascii="Verdana" w:hAnsi="Verdana" w:cs="Verdana"/>
          <w:sz w:val="18"/>
          <w:szCs w:val="18"/>
        </w:rPr>
        <w:drawing>
          <wp:inline distT="0" distB="0" distL="0" distR="0" wp14:anchorId="0B9A01F7" wp14:editId="59DC453C">
            <wp:extent cx="5663682" cy="3203005"/>
            <wp:effectExtent l="50800" t="25400" r="51435" b="7366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8157352" w14:textId="79BB7867" w:rsidR="00A83B70" w:rsidRPr="006E0B44" w:rsidRDefault="006E0B44" w:rsidP="000B1B64">
      <w:pPr>
        <w:rPr>
          <w:rFonts w:asciiTheme="majorHAnsi" w:hAnsiTheme="majorHAnsi"/>
          <w:i/>
          <w:sz w:val="22"/>
          <w:szCs w:val="22"/>
          <w:lang w:val="fr-FR"/>
        </w:rPr>
      </w:pPr>
      <w:proofErr w:type="spellStart"/>
      <w:r w:rsidRPr="006E0B44">
        <w:rPr>
          <w:rFonts w:asciiTheme="majorHAnsi" w:hAnsiTheme="majorHAnsi"/>
          <w:i/>
          <w:sz w:val="22"/>
          <w:szCs w:val="22"/>
          <w:lang w:val="fr-FR"/>
        </w:rPr>
        <w:t>Schema</w:t>
      </w:r>
      <w:proofErr w:type="spellEnd"/>
      <w:r w:rsidRPr="006E0B44">
        <w:rPr>
          <w:rFonts w:asciiTheme="majorHAnsi" w:hAnsiTheme="majorHAnsi"/>
          <w:i/>
          <w:sz w:val="22"/>
          <w:szCs w:val="22"/>
          <w:lang w:val="fr-FR"/>
        </w:rPr>
        <w:t xml:space="preserve"> 3 : Incitation et Discours de la Haine selon le Droit International sur les droits humains </w:t>
      </w:r>
    </w:p>
    <w:p w14:paraId="59F5C636" w14:textId="77777777" w:rsidR="00A83B70" w:rsidRPr="00F015DD" w:rsidRDefault="00A83B70" w:rsidP="000B1B64">
      <w:pPr>
        <w:rPr>
          <w:rFonts w:asciiTheme="majorHAnsi" w:hAnsiTheme="majorHAnsi"/>
          <w:b/>
          <w:i/>
          <w:sz w:val="22"/>
          <w:szCs w:val="22"/>
          <w:lang w:val="fr-FR"/>
        </w:rPr>
      </w:pPr>
    </w:p>
    <w:p w14:paraId="181D93BA" w14:textId="77777777" w:rsidR="000B1B64" w:rsidRPr="00F015DD" w:rsidRDefault="00152616" w:rsidP="00152616">
      <w:pPr>
        <w:rPr>
          <w:rFonts w:asciiTheme="majorHAnsi" w:hAnsiTheme="majorHAnsi"/>
          <w:b/>
          <w:i/>
          <w:sz w:val="22"/>
          <w:szCs w:val="22"/>
          <w:lang w:val="fr-FR"/>
        </w:rPr>
      </w:pPr>
      <w:r w:rsidRPr="00F015DD">
        <w:rPr>
          <w:rFonts w:asciiTheme="majorHAnsi" w:hAnsiTheme="majorHAnsi"/>
          <w:b/>
          <w:i/>
          <w:sz w:val="22"/>
          <w:szCs w:val="22"/>
          <w:lang w:val="fr-FR"/>
        </w:rPr>
        <w:t xml:space="preserve">Déterminer si l’incitation a eu lieu </w:t>
      </w:r>
    </w:p>
    <w:p w14:paraId="41B90057" w14:textId="77777777" w:rsidR="000B5A69" w:rsidRPr="00F015DD" w:rsidRDefault="000B5A69" w:rsidP="000B5A69">
      <w:pPr>
        <w:widowControl w:val="0"/>
        <w:tabs>
          <w:tab w:val="left" w:pos="220"/>
          <w:tab w:val="left" w:pos="720"/>
        </w:tabs>
        <w:autoSpaceDE w:val="0"/>
        <w:autoSpaceDN w:val="0"/>
        <w:adjustRightInd w:val="0"/>
        <w:rPr>
          <w:rFonts w:asciiTheme="majorHAnsi" w:hAnsiTheme="majorHAnsi" w:cs="Times"/>
          <w:sz w:val="22"/>
          <w:szCs w:val="22"/>
          <w:u w:val="single"/>
          <w:lang w:val="fr-FR"/>
        </w:rPr>
      </w:pPr>
    </w:p>
    <w:p w14:paraId="714EE52A" w14:textId="7685C890" w:rsidR="000B5A69" w:rsidRPr="00F015DD" w:rsidRDefault="00152616" w:rsidP="003307DE">
      <w:pPr>
        <w:widowControl w:val="0"/>
        <w:tabs>
          <w:tab w:val="left" w:pos="220"/>
          <w:tab w:val="left" w:pos="720"/>
        </w:tabs>
        <w:autoSpaceDE w:val="0"/>
        <w:autoSpaceDN w:val="0"/>
        <w:adjustRightInd w:val="0"/>
        <w:jc w:val="both"/>
        <w:rPr>
          <w:rFonts w:asciiTheme="majorHAnsi" w:hAnsiTheme="majorHAnsi" w:cs="Times"/>
          <w:sz w:val="22"/>
          <w:szCs w:val="22"/>
          <w:lang w:val="fr-FR"/>
        </w:rPr>
      </w:pPr>
      <w:r w:rsidRPr="00F015DD">
        <w:rPr>
          <w:rFonts w:asciiTheme="majorHAnsi" w:hAnsiTheme="majorHAnsi" w:cs="Times"/>
          <w:sz w:val="22"/>
          <w:szCs w:val="22"/>
          <w:lang w:val="fr-FR"/>
        </w:rPr>
        <w:t xml:space="preserve">L’incitation nécessite un ensemble d’acteurs actifs: un orateur qui cherche à provoquer une réaction et un (ou plusieurs) auditeur(s) qui </w:t>
      </w:r>
      <w:proofErr w:type="gramStart"/>
      <w:r w:rsidRPr="00F015DD">
        <w:rPr>
          <w:rFonts w:asciiTheme="majorHAnsi" w:hAnsiTheme="majorHAnsi" w:cs="Times"/>
          <w:sz w:val="22"/>
          <w:szCs w:val="22"/>
          <w:lang w:val="fr-FR"/>
        </w:rPr>
        <w:t>serai(</w:t>
      </w:r>
      <w:proofErr w:type="spellStart"/>
      <w:proofErr w:type="gramEnd"/>
      <w:r w:rsidRPr="00F015DD">
        <w:rPr>
          <w:rFonts w:asciiTheme="majorHAnsi" w:hAnsiTheme="majorHAnsi" w:cs="Times"/>
          <w:sz w:val="22"/>
          <w:szCs w:val="22"/>
          <w:lang w:val="fr-FR"/>
        </w:rPr>
        <w:t>ent</w:t>
      </w:r>
      <w:proofErr w:type="spellEnd"/>
      <w:r w:rsidRPr="00F015DD">
        <w:rPr>
          <w:rFonts w:asciiTheme="majorHAnsi" w:hAnsiTheme="majorHAnsi" w:cs="Times"/>
          <w:sz w:val="22"/>
          <w:szCs w:val="22"/>
          <w:lang w:val="fr-FR"/>
        </w:rPr>
        <w:t xml:space="preserve">) disposé(s) à agir </w:t>
      </w:r>
      <w:r w:rsidR="00D17A1A" w:rsidRPr="00F015DD">
        <w:rPr>
          <w:rFonts w:asciiTheme="majorHAnsi" w:hAnsiTheme="majorHAnsi" w:cs="Times"/>
          <w:sz w:val="22"/>
          <w:szCs w:val="22"/>
          <w:lang w:val="fr-FR"/>
        </w:rPr>
        <w:t>selon les instructions. L’incitation amène l’audi</w:t>
      </w:r>
      <w:r w:rsidR="00B5600E" w:rsidRPr="00F015DD">
        <w:rPr>
          <w:rFonts w:asciiTheme="majorHAnsi" w:hAnsiTheme="majorHAnsi" w:cs="Times"/>
          <w:sz w:val="22"/>
          <w:szCs w:val="22"/>
          <w:lang w:val="fr-FR"/>
        </w:rPr>
        <w:t xml:space="preserve">ence </w:t>
      </w:r>
      <w:r w:rsidR="00D17A1A" w:rsidRPr="00F015DD">
        <w:rPr>
          <w:rFonts w:asciiTheme="majorHAnsi" w:hAnsiTheme="majorHAnsi" w:cs="Times"/>
          <w:sz w:val="22"/>
          <w:szCs w:val="22"/>
          <w:lang w:val="fr-FR"/>
        </w:rPr>
        <w:t>à agir d’une certaine manière et souvent de manière criminelle</w:t>
      </w:r>
      <w:r w:rsidR="000B5A69" w:rsidRPr="00F015DD">
        <w:rPr>
          <w:rStyle w:val="FootnoteReference"/>
          <w:rFonts w:asciiTheme="majorHAnsi" w:hAnsiTheme="majorHAnsi" w:cs="Times"/>
          <w:sz w:val="22"/>
          <w:szCs w:val="22"/>
          <w:lang w:val="fr-FR"/>
        </w:rPr>
        <w:footnoteReference w:id="25"/>
      </w:r>
      <w:r w:rsidR="000B5A69" w:rsidRPr="00F015DD">
        <w:rPr>
          <w:rFonts w:asciiTheme="majorHAnsi" w:hAnsiTheme="majorHAnsi" w:cs="Times"/>
          <w:sz w:val="22"/>
          <w:szCs w:val="22"/>
          <w:lang w:val="fr-FR"/>
        </w:rPr>
        <w:t xml:space="preserve">.  </w:t>
      </w:r>
      <w:r w:rsidR="003307DE" w:rsidRPr="00F015DD">
        <w:rPr>
          <w:rFonts w:asciiTheme="majorHAnsi" w:hAnsiTheme="majorHAnsi" w:cs="Times"/>
          <w:sz w:val="22"/>
          <w:szCs w:val="22"/>
          <w:lang w:val="fr-FR"/>
        </w:rPr>
        <w:t>Rien ne se passe passivement dans cette situation</w:t>
      </w:r>
      <w:r w:rsidR="000B5A69" w:rsidRPr="00F015DD">
        <w:rPr>
          <w:rFonts w:asciiTheme="majorHAnsi" w:hAnsiTheme="majorHAnsi" w:cs="Times"/>
          <w:sz w:val="22"/>
          <w:szCs w:val="22"/>
          <w:lang w:val="fr-FR"/>
        </w:rPr>
        <w:t xml:space="preserve">. </w:t>
      </w:r>
    </w:p>
    <w:p w14:paraId="7ABA7B1C" w14:textId="77777777" w:rsidR="000B1B64" w:rsidRPr="00F015DD" w:rsidRDefault="000B1B64" w:rsidP="000B1B64">
      <w:pPr>
        <w:rPr>
          <w:rFonts w:asciiTheme="majorHAnsi" w:hAnsiTheme="majorHAnsi"/>
          <w:sz w:val="22"/>
          <w:szCs w:val="22"/>
          <w:lang w:val="fr-FR"/>
        </w:rPr>
      </w:pPr>
    </w:p>
    <w:p w14:paraId="5F11CEF1" w14:textId="20F92CB4" w:rsidR="000B1B64" w:rsidRPr="00F015DD" w:rsidRDefault="00D17A1A" w:rsidP="00D17A1A">
      <w:pPr>
        <w:rPr>
          <w:rFonts w:asciiTheme="majorHAnsi" w:hAnsiTheme="majorHAnsi"/>
          <w:color w:val="000000"/>
          <w:sz w:val="22"/>
          <w:szCs w:val="22"/>
          <w:lang w:val="fr-FR"/>
        </w:rPr>
      </w:pPr>
      <w:r w:rsidRPr="00F015DD">
        <w:rPr>
          <w:rFonts w:asciiTheme="majorHAnsi" w:hAnsiTheme="majorHAnsi"/>
          <w:color w:val="000000"/>
          <w:sz w:val="22"/>
          <w:szCs w:val="22"/>
          <w:lang w:val="fr-FR"/>
        </w:rPr>
        <w:t>Afin d</w:t>
      </w:r>
      <w:r w:rsidR="00B5600E" w:rsidRPr="00F015DD">
        <w:rPr>
          <w:rFonts w:asciiTheme="majorHAnsi" w:hAnsiTheme="majorHAnsi"/>
          <w:color w:val="000000"/>
          <w:sz w:val="22"/>
          <w:szCs w:val="22"/>
          <w:lang w:val="fr-FR"/>
        </w:rPr>
        <w:t>e conclure qu’une incitation a</w:t>
      </w:r>
      <w:r w:rsidRPr="00F015DD">
        <w:rPr>
          <w:rFonts w:asciiTheme="majorHAnsi" w:hAnsiTheme="majorHAnsi"/>
          <w:color w:val="000000"/>
          <w:sz w:val="22"/>
          <w:szCs w:val="22"/>
          <w:lang w:val="fr-FR"/>
        </w:rPr>
        <w:t xml:space="preserve"> eu lieu, le tribunal doit déterminer:   </w:t>
      </w:r>
    </w:p>
    <w:p w14:paraId="493CD170" w14:textId="77777777" w:rsidR="000B1B64" w:rsidRPr="00F015DD" w:rsidRDefault="00D17A1A" w:rsidP="00D17A1A">
      <w:pPr>
        <w:pStyle w:val="ListParagraph"/>
        <w:numPr>
          <w:ilvl w:val="0"/>
          <w:numId w:val="8"/>
        </w:numPr>
        <w:rPr>
          <w:rFonts w:asciiTheme="majorHAnsi" w:hAnsiTheme="majorHAnsi"/>
          <w:color w:val="000000"/>
          <w:sz w:val="22"/>
          <w:szCs w:val="22"/>
          <w:lang w:val="fr-FR"/>
        </w:rPr>
      </w:pPr>
      <w:r w:rsidRPr="00F015DD">
        <w:rPr>
          <w:rFonts w:asciiTheme="majorHAnsi" w:hAnsiTheme="majorHAnsi"/>
          <w:color w:val="000000"/>
          <w:sz w:val="22"/>
          <w:szCs w:val="22"/>
          <w:lang w:val="fr-FR"/>
        </w:rPr>
        <w:t>L’</w:t>
      </w:r>
      <w:r w:rsidRPr="00F015DD">
        <w:rPr>
          <w:rFonts w:asciiTheme="majorHAnsi" w:hAnsiTheme="majorHAnsi"/>
          <w:b/>
          <w:bCs/>
          <w:color w:val="000000"/>
          <w:sz w:val="22"/>
          <w:szCs w:val="22"/>
          <w:lang w:val="fr-FR"/>
        </w:rPr>
        <w:t>intention</w:t>
      </w:r>
      <w:r w:rsidRPr="00F015DD">
        <w:rPr>
          <w:rFonts w:asciiTheme="majorHAnsi" w:hAnsiTheme="majorHAnsi"/>
          <w:color w:val="000000"/>
          <w:sz w:val="22"/>
          <w:szCs w:val="22"/>
          <w:lang w:val="fr-FR"/>
        </w:rPr>
        <w:t xml:space="preserve"> de l’orateur à inciter </w:t>
      </w:r>
    </w:p>
    <w:p w14:paraId="3D3B8004" w14:textId="77777777" w:rsidR="000B1B64" w:rsidRPr="00F015DD" w:rsidRDefault="00D17A1A" w:rsidP="00D17A1A">
      <w:pPr>
        <w:pStyle w:val="ListParagraph"/>
        <w:numPr>
          <w:ilvl w:val="0"/>
          <w:numId w:val="8"/>
        </w:numPr>
        <w:rPr>
          <w:rFonts w:asciiTheme="majorHAnsi" w:hAnsiTheme="majorHAnsi"/>
          <w:color w:val="000000"/>
          <w:sz w:val="22"/>
          <w:szCs w:val="22"/>
          <w:lang w:val="fr-FR"/>
        </w:rPr>
      </w:pPr>
      <w:r w:rsidRPr="00F015DD">
        <w:rPr>
          <w:rFonts w:asciiTheme="majorHAnsi" w:hAnsiTheme="majorHAnsi"/>
          <w:color w:val="000000"/>
          <w:sz w:val="22"/>
          <w:szCs w:val="22"/>
          <w:lang w:val="fr-FR"/>
        </w:rPr>
        <w:t xml:space="preserve">La </w:t>
      </w:r>
      <w:r w:rsidRPr="00F015DD">
        <w:rPr>
          <w:rFonts w:asciiTheme="majorHAnsi" w:hAnsiTheme="majorHAnsi"/>
          <w:b/>
          <w:bCs/>
          <w:color w:val="000000"/>
          <w:sz w:val="22"/>
          <w:szCs w:val="22"/>
          <w:lang w:val="fr-FR"/>
        </w:rPr>
        <w:t>probabilité</w:t>
      </w:r>
      <w:r w:rsidRPr="00F015DD">
        <w:rPr>
          <w:rFonts w:asciiTheme="majorHAnsi" w:hAnsiTheme="majorHAnsi"/>
          <w:color w:val="000000"/>
          <w:sz w:val="22"/>
          <w:szCs w:val="22"/>
          <w:lang w:val="fr-FR"/>
        </w:rPr>
        <w:t xml:space="preserve"> que la violence se manifeste </w:t>
      </w:r>
    </w:p>
    <w:p w14:paraId="2EAAFA7D" w14:textId="77777777" w:rsidR="000B1B64" w:rsidRPr="00F015DD" w:rsidRDefault="00D17A1A" w:rsidP="00D17A1A">
      <w:pPr>
        <w:pStyle w:val="ListParagraph"/>
        <w:numPr>
          <w:ilvl w:val="0"/>
          <w:numId w:val="8"/>
        </w:numPr>
        <w:rPr>
          <w:rFonts w:asciiTheme="majorHAnsi" w:hAnsiTheme="majorHAnsi"/>
          <w:color w:val="000000"/>
          <w:sz w:val="22"/>
          <w:szCs w:val="22"/>
          <w:lang w:val="fr-FR"/>
        </w:rPr>
      </w:pPr>
      <w:r w:rsidRPr="00F015DD">
        <w:rPr>
          <w:rFonts w:asciiTheme="majorHAnsi" w:hAnsiTheme="majorHAnsi"/>
          <w:color w:val="000000"/>
          <w:sz w:val="22"/>
          <w:szCs w:val="22"/>
          <w:lang w:val="fr-FR"/>
        </w:rPr>
        <w:t xml:space="preserve">Une </w:t>
      </w:r>
      <w:r w:rsidRPr="00F015DD">
        <w:rPr>
          <w:rFonts w:asciiTheme="majorHAnsi" w:hAnsiTheme="majorHAnsi"/>
          <w:b/>
          <w:bCs/>
          <w:color w:val="000000"/>
          <w:sz w:val="22"/>
          <w:szCs w:val="22"/>
          <w:lang w:val="fr-FR"/>
        </w:rPr>
        <w:t>relation causale</w:t>
      </w:r>
      <w:r w:rsidRPr="00F015DD">
        <w:rPr>
          <w:rFonts w:asciiTheme="majorHAnsi" w:hAnsiTheme="majorHAnsi"/>
          <w:color w:val="000000"/>
          <w:sz w:val="22"/>
          <w:szCs w:val="22"/>
          <w:lang w:val="fr-FR"/>
        </w:rPr>
        <w:t xml:space="preserve"> entre l’intention de l’orateur et la violence</w:t>
      </w:r>
      <w:r w:rsidR="000B1B64" w:rsidRPr="00F015DD">
        <w:rPr>
          <w:rFonts w:asciiTheme="majorHAnsi" w:hAnsiTheme="majorHAnsi"/>
          <w:color w:val="000000"/>
          <w:sz w:val="22"/>
          <w:szCs w:val="22"/>
          <w:lang w:val="fr-FR"/>
        </w:rPr>
        <w:t xml:space="preserve">.   </w:t>
      </w:r>
    </w:p>
    <w:p w14:paraId="70584980" w14:textId="77777777" w:rsidR="000B1B64" w:rsidRPr="00F015DD" w:rsidRDefault="000B1B64" w:rsidP="000B1B64">
      <w:pPr>
        <w:rPr>
          <w:rFonts w:asciiTheme="majorHAnsi" w:hAnsiTheme="majorHAnsi"/>
          <w:b/>
          <w:color w:val="000000"/>
          <w:sz w:val="22"/>
          <w:szCs w:val="22"/>
          <w:u w:val="single"/>
          <w:lang w:val="fr-FR"/>
        </w:rPr>
      </w:pPr>
    </w:p>
    <w:p w14:paraId="0608A745" w14:textId="5B496F75" w:rsidR="000B1B64" w:rsidRPr="00F015DD" w:rsidRDefault="00D17A1A" w:rsidP="003307DE">
      <w:pPr>
        <w:rPr>
          <w:rFonts w:asciiTheme="majorHAnsi" w:hAnsiTheme="majorHAnsi"/>
          <w:color w:val="000000"/>
          <w:sz w:val="22"/>
          <w:szCs w:val="22"/>
          <w:lang w:val="fr-FR"/>
        </w:rPr>
      </w:pPr>
      <w:r w:rsidRPr="00F015DD">
        <w:rPr>
          <w:rFonts w:asciiTheme="majorHAnsi" w:hAnsiTheme="majorHAnsi"/>
          <w:color w:val="000000"/>
          <w:sz w:val="22"/>
          <w:szCs w:val="22"/>
          <w:lang w:val="fr-FR"/>
        </w:rPr>
        <w:t xml:space="preserve">Pour </w:t>
      </w:r>
      <w:r w:rsidR="003307DE" w:rsidRPr="00F015DD">
        <w:rPr>
          <w:rFonts w:asciiTheme="majorHAnsi" w:hAnsiTheme="majorHAnsi"/>
          <w:color w:val="000000"/>
          <w:sz w:val="22"/>
          <w:szCs w:val="22"/>
          <w:lang w:val="fr-FR"/>
        </w:rPr>
        <w:t xml:space="preserve">évaluer et déterminer si l’incitation </w:t>
      </w:r>
      <w:r w:rsidR="00C46469" w:rsidRPr="00F015DD">
        <w:rPr>
          <w:rFonts w:asciiTheme="majorHAnsi" w:hAnsiTheme="majorHAnsi"/>
          <w:color w:val="000000"/>
          <w:sz w:val="22"/>
          <w:szCs w:val="22"/>
          <w:lang w:val="fr-FR"/>
        </w:rPr>
        <w:t>a</w:t>
      </w:r>
      <w:r w:rsidR="003307DE" w:rsidRPr="00F015DD">
        <w:rPr>
          <w:rFonts w:asciiTheme="majorHAnsi" w:hAnsiTheme="majorHAnsi"/>
          <w:color w:val="000000"/>
          <w:sz w:val="22"/>
          <w:szCs w:val="22"/>
          <w:lang w:val="fr-FR"/>
        </w:rPr>
        <w:t xml:space="preserve"> bel et bien </w:t>
      </w:r>
      <w:r w:rsidR="00F015DD" w:rsidRPr="00F015DD">
        <w:rPr>
          <w:rFonts w:asciiTheme="majorHAnsi" w:hAnsiTheme="majorHAnsi"/>
          <w:color w:val="000000"/>
          <w:sz w:val="22"/>
          <w:szCs w:val="22"/>
          <w:lang w:val="fr-FR"/>
        </w:rPr>
        <w:t xml:space="preserve">eu </w:t>
      </w:r>
      <w:r w:rsidR="003307DE" w:rsidRPr="00F015DD">
        <w:rPr>
          <w:rFonts w:asciiTheme="majorHAnsi" w:hAnsiTheme="majorHAnsi"/>
          <w:color w:val="000000"/>
          <w:sz w:val="22"/>
          <w:szCs w:val="22"/>
          <w:lang w:val="fr-FR"/>
        </w:rPr>
        <w:t>lieu, les tribunaux et autres acteurs peuvent procéder à l’examen des éléments suivants</w:t>
      </w:r>
      <w:r w:rsidR="000B1B64" w:rsidRPr="00F015DD">
        <w:rPr>
          <w:rFonts w:asciiTheme="majorHAnsi" w:hAnsiTheme="majorHAnsi"/>
          <w:color w:val="000000"/>
          <w:sz w:val="22"/>
          <w:szCs w:val="22"/>
          <w:lang w:val="fr-FR"/>
        </w:rPr>
        <w:t>:</w:t>
      </w:r>
    </w:p>
    <w:p w14:paraId="1505A79C" w14:textId="77777777" w:rsidR="00613B3A" w:rsidRPr="00F015DD" w:rsidRDefault="003307DE" w:rsidP="003307DE">
      <w:pPr>
        <w:numPr>
          <w:ilvl w:val="0"/>
          <w:numId w:val="14"/>
        </w:numPr>
        <w:rPr>
          <w:rFonts w:asciiTheme="majorHAnsi" w:hAnsiTheme="majorHAnsi"/>
          <w:color w:val="000000"/>
          <w:sz w:val="22"/>
          <w:szCs w:val="22"/>
          <w:lang w:val="fr-FR"/>
        </w:rPr>
      </w:pPr>
      <w:r w:rsidRPr="00F015DD">
        <w:rPr>
          <w:rFonts w:asciiTheme="majorHAnsi" w:hAnsiTheme="majorHAnsi"/>
          <w:b/>
          <w:bCs/>
          <w:color w:val="000000"/>
          <w:sz w:val="22"/>
          <w:szCs w:val="22"/>
          <w:lang w:val="fr-FR"/>
        </w:rPr>
        <w:t>Le c</w:t>
      </w:r>
      <w:r w:rsidR="00613B3A" w:rsidRPr="00F015DD">
        <w:rPr>
          <w:rFonts w:asciiTheme="majorHAnsi" w:hAnsiTheme="majorHAnsi"/>
          <w:b/>
          <w:bCs/>
          <w:color w:val="000000"/>
          <w:sz w:val="22"/>
          <w:szCs w:val="22"/>
          <w:lang w:val="fr-FR"/>
        </w:rPr>
        <w:t>ontext</w:t>
      </w:r>
      <w:r w:rsidRPr="00F015DD">
        <w:rPr>
          <w:rFonts w:asciiTheme="majorHAnsi" w:hAnsiTheme="majorHAnsi"/>
          <w:b/>
          <w:bCs/>
          <w:color w:val="000000"/>
          <w:sz w:val="22"/>
          <w:szCs w:val="22"/>
          <w:lang w:val="fr-FR"/>
        </w:rPr>
        <w:t>e</w:t>
      </w:r>
      <w:r w:rsidR="00613B3A" w:rsidRPr="00F015DD">
        <w:rPr>
          <w:rFonts w:asciiTheme="majorHAnsi" w:hAnsiTheme="majorHAnsi"/>
          <w:color w:val="000000"/>
          <w:sz w:val="22"/>
          <w:szCs w:val="22"/>
          <w:lang w:val="fr-FR"/>
        </w:rPr>
        <w:t xml:space="preserve">: </w:t>
      </w:r>
      <w:r w:rsidRPr="00F015DD">
        <w:rPr>
          <w:rFonts w:asciiTheme="majorHAnsi" w:hAnsiTheme="majorHAnsi"/>
          <w:color w:val="000000"/>
          <w:sz w:val="22"/>
          <w:szCs w:val="22"/>
          <w:lang w:val="fr-FR"/>
        </w:rPr>
        <w:t xml:space="preserve">existe-il des </w:t>
      </w:r>
      <w:proofErr w:type="spellStart"/>
      <w:r w:rsidRPr="00F015DD">
        <w:rPr>
          <w:rFonts w:asciiTheme="majorHAnsi" w:hAnsiTheme="majorHAnsi"/>
          <w:color w:val="000000"/>
          <w:sz w:val="22"/>
          <w:szCs w:val="22"/>
          <w:lang w:val="fr-FR"/>
        </w:rPr>
        <w:t>antécédants</w:t>
      </w:r>
      <w:proofErr w:type="spellEnd"/>
      <w:r w:rsidRPr="00F015DD">
        <w:rPr>
          <w:rFonts w:asciiTheme="majorHAnsi" w:hAnsiTheme="majorHAnsi"/>
          <w:color w:val="000000"/>
          <w:sz w:val="22"/>
          <w:szCs w:val="22"/>
          <w:lang w:val="fr-FR"/>
        </w:rPr>
        <w:t xml:space="preserve"> de violence, de discrimination et de censure qui ciblent des groupes spécifiques? </w:t>
      </w:r>
    </w:p>
    <w:p w14:paraId="14FBBF3A" w14:textId="48B68E7A" w:rsidR="00613B3A" w:rsidRPr="00F015DD" w:rsidRDefault="003307DE" w:rsidP="003307DE">
      <w:pPr>
        <w:numPr>
          <w:ilvl w:val="0"/>
          <w:numId w:val="14"/>
        </w:numPr>
        <w:rPr>
          <w:rFonts w:asciiTheme="majorHAnsi" w:hAnsiTheme="majorHAnsi"/>
          <w:color w:val="000000"/>
          <w:sz w:val="22"/>
          <w:szCs w:val="22"/>
          <w:lang w:val="fr-FR"/>
        </w:rPr>
      </w:pPr>
      <w:r w:rsidRPr="00F015DD">
        <w:rPr>
          <w:rFonts w:asciiTheme="majorHAnsi" w:hAnsiTheme="majorHAnsi"/>
          <w:b/>
          <w:bCs/>
          <w:color w:val="000000"/>
          <w:sz w:val="22"/>
          <w:szCs w:val="22"/>
          <w:lang w:val="fr-FR"/>
        </w:rPr>
        <w:t>L’orateur</w:t>
      </w:r>
      <w:r w:rsidR="00613B3A" w:rsidRPr="00F015DD">
        <w:rPr>
          <w:rFonts w:asciiTheme="majorHAnsi" w:hAnsiTheme="majorHAnsi"/>
          <w:color w:val="000000"/>
          <w:sz w:val="22"/>
          <w:szCs w:val="22"/>
          <w:lang w:val="fr-FR"/>
        </w:rPr>
        <w:t xml:space="preserve">: </w:t>
      </w:r>
      <w:r w:rsidR="00F015DD" w:rsidRPr="00F015DD">
        <w:rPr>
          <w:rFonts w:asciiTheme="majorHAnsi" w:hAnsiTheme="majorHAnsi"/>
          <w:color w:val="000000"/>
          <w:sz w:val="22"/>
          <w:szCs w:val="22"/>
          <w:lang w:val="fr-FR"/>
        </w:rPr>
        <w:t>est-il inf</w:t>
      </w:r>
      <w:r w:rsidRPr="00F015DD">
        <w:rPr>
          <w:rFonts w:asciiTheme="majorHAnsi" w:hAnsiTheme="majorHAnsi"/>
          <w:color w:val="000000"/>
          <w:sz w:val="22"/>
          <w:szCs w:val="22"/>
          <w:lang w:val="fr-FR"/>
        </w:rPr>
        <w:t>l</w:t>
      </w:r>
      <w:r w:rsidR="00F015DD" w:rsidRPr="00F015DD">
        <w:rPr>
          <w:rFonts w:asciiTheme="majorHAnsi" w:hAnsiTheme="majorHAnsi"/>
          <w:color w:val="000000"/>
          <w:sz w:val="22"/>
          <w:szCs w:val="22"/>
          <w:lang w:val="fr-FR"/>
        </w:rPr>
        <w:t>u</w:t>
      </w:r>
      <w:r w:rsidRPr="00F015DD">
        <w:rPr>
          <w:rFonts w:asciiTheme="majorHAnsi" w:hAnsiTheme="majorHAnsi"/>
          <w:color w:val="000000"/>
          <w:sz w:val="22"/>
          <w:szCs w:val="22"/>
          <w:lang w:val="fr-FR"/>
        </w:rPr>
        <w:t xml:space="preserve">ent? détient-il un poste de pouvoir ou d’autorité? est-il en mesure d’influencer l’audience? </w:t>
      </w:r>
    </w:p>
    <w:p w14:paraId="18E3C65A" w14:textId="49CDD8FA" w:rsidR="00613B3A" w:rsidRPr="00F015DD" w:rsidRDefault="003307DE" w:rsidP="003307DE">
      <w:pPr>
        <w:numPr>
          <w:ilvl w:val="0"/>
          <w:numId w:val="14"/>
        </w:numPr>
        <w:rPr>
          <w:rFonts w:asciiTheme="majorHAnsi" w:hAnsiTheme="majorHAnsi"/>
          <w:color w:val="000000"/>
          <w:sz w:val="22"/>
          <w:szCs w:val="22"/>
          <w:lang w:val="fr-FR"/>
        </w:rPr>
      </w:pPr>
      <w:r w:rsidRPr="00F015DD">
        <w:rPr>
          <w:rFonts w:asciiTheme="majorHAnsi" w:hAnsiTheme="majorHAnsi"/>
          <w:b/>
          <w:bCs/>
          <w:color w:val="000000"/>
          <w:sz w:val="22"/>
          <w:szCs w:val="22"/>
          <w:lang w:val="fr-FR"/>
        </w:rPr>
        <w:t>Le discours</w:t>
      </w:r>
      <w:r w:rsidR="00613B3A" w:rsidRPr="00F015DD">
        <w:rPr>
          <w:rFonts w:asciiTheme="majorHAnsi" w:hAnsiTheme="majorHAnsi"/>
          <w:b/>
          <w:bCs/>
          <w:color w:val="000000"/>
          <w:sz w:val="22"/>
          <w:szCs w:val="22"/>
          <w:lang w:val="fr-FR"/>
        </w:rPr>
        <w:t xml:space="preserve">: </w:t>
      </w:r>
      <w:r w:rsidRPr="00F015DD">
        <w:rPr>
          <w:rFonts w:asciiTheme="majorHAnsi" w:hAnsiTheme="majorHAnsi"/>
          <w:color w:val="000000"/>
          <w:sz w:val="22"/>
          <w:szCs w:val="22"/>
          <w:lang w:val="fr-FR"/>
        </w:rPr>
        <w:t xml:space="preserve">un appel direct est-il lancé </w:t>
      </w:r>
      <w:r w:rsidR="00F015DD" w:rsidRPr="00F015DD">
        <w:rPr>
          <w:rFonts w:asciiTheme="majorHAnsi" w:hAnsiTheme="majorHAnsi"/>
          <w:color w:val="000000"/>
          <w:sz w:val="22"/>
          <w:szCs w:val="22"/>
          <w:lang w:val="fr-FR"/>
        </w:rPr>
        <w:t xml:space="preserve">publiquement </w:t>
      </w:r>
      <w:r w:rsidR="00F015DD" w:rsidRPr="00F015DD">
        <w:rPr>
          <w:rFonts w:asciiTheme="majorHAnsi" w:hAnsiTheme="majorHAnsi"/>
          <w:color w:val="000000"/>
          <w:sz w:val="22"/>
          <w:szCs w:val="22"/>
          <w:highlight w:val="yellow"/>
          <w:lang w:val="fr-FR"/>
        </w:rPr>
        <w:t>a</w:t>
      </w:r>
      <w:r w:rsidR="00F015DD" w:rsidRPr="00F015DD">
        <w:rPr>
          <w:rFonts w:asciiTheme="majorHAnsi" w:hAnsiTheme="majorHAnsi"/>
          <w:color w:val="000000"/>
          <w:sz w:val="22"/>
          <w:szCs w:val="22"/>
          <w:lang w:val="fr-FR"/>
        </w:rPr>
        <w:t xml:space="preserve"> une </w:t>
      </w:r>
      <w:r w:rsidRPr="00F015DD">
        <w:rPr>
          <w:rFonts w:asciiTheme="majorHAnsi" w:hAnsiTheme="majorHAnsi"/>
          <w:color w:val="000000"/>
          <w:sz w:val="22"/>
          <w:szCs w:val="22"/>
          <w:lang w:val="fr-FR"/>
        </w:rPr>
        <w:t xml:space="preserve">audience pour agir d’une certaine façon?  </w:t>
      </w:r>
      <w:r w:rsidR="00F015DD" w:rsidRPr="00F015DD">
        <w:rPr>
          <w:rFonts w:asciiTheme="majorHAnsi" w:hAnsiTheme="majorHAnsi"/>
          <w:color w:val="000000"/>
          <w:sz w:val="22"/>
          <w:szCs w:val="22"/>
          <w:lang w:val="fr-FR"/>
        </w:rPr>
        <w:t>L</w:t>
      </w:r>
      <w:r w:rsidRPr="00F015DD">
        <w:rPr>
          <w:rFonts w:asciiTheme="majorHAnsi" w:hAnsiTheme="majorHAnsi"/>
          <w:color w:val="000000"/>
          <w:sz w:val="22"/>
          <w:szCs w:val="22"/>
          <w:lang w:val="fr-FR"/>
        </w:rPr>
        <w:t>e discours est-il provocateur?</w:t>
      </w:r>
      <w:r w:rsidRPr="00F015DD">
        <w:rPr>
          <w:rFonts w:asciiTheme="majorHAnsi" w:hAnsiTheme="majorHAnsi"/>
          <w:b/>
          <w:bCs/>
          <w:color w:val="000000"/>
          <w:sz w:val="22"/>
          <w:szCs w:val="22"/>
          <w:lang w:val="fr-FR"/>
        </w:rPr>
        <w:t xml:space="preserve"> </w:t>
      </w:r>
      <w:r w:rsidR="00F015DD" w:rsidRPr="00F015DD">
        <w:rPr>
          <w:rFonts w:asciiTheme="majorHAnsi" w:hAnsiTheme="majorHAnsi"/>
          <w:color w:val="000000"/>
          <w:sz w:val="22"/>
          <w:szCs w:val="22"/>
          <w:lang w:val="fr-FR"/>
        </w:rPr>
        <w:t>Enflammé</w:t>
      </w:r>
      <w:r w:rsidR="00613B3A" w:rsidRPr="00F015DD">
        <w:rPr>
          <w:rFonts w:asciiTheme="majorHAnsi" w:hAnsiTheme="majorHAnsi"/>
          <w:color w:val="000000"/>
          <w:sz w:val="22"/>
          <w:szCs w:val="22"/>
          <w:lang w:val="fr-FR"/>
        </w:rPr>
        <w:t xml:space="preserve">? </w:t>
      </w:r>
      <w:r w:rsidR="00F015DD" w:rsidRPr="00F015DD">
        <w:rPr>
          <w:rFonts w:asciiTheme="majorHAnsi" w:hAnsiTheme="majorHAnsi"/>
          <w:color w:val="000000"/>
          <w:sz w:val="22"/>
          <w:szCs w:val="22"/>
          <w:lang w:val="fr-FR"/>
        </w:rPr>
        <w:t>Codé</w:t>
      </w:r>
      <w:r w:rsidR="00613B3A" w:rsidRPr="00F015DD">
        <w:rPr>
          <w:rFonts w:asciiTheme="majorHAnsi" w:hAnsiTheme="majorHAnsi"/>
          <w:color w:val="000000"/>
          <w:sz w:val="22"/>
          <w:szCs w:val="22"/>
          <w:lang w:val="fr-FR"/>
        </w:rPr>
        <w:t>?</w:t>
      </w:r>
    </w:p>
    <w:p w14:paraId="753D1999" w14:textId="149A4B39" w:rsidR="00613B3A" w:rsidRPr="00F015DD" w:rsidRDefault="00F072D6" w:rsidP="00613B3A">
      <w:pPr>
        <w:numPr>
          <w:ilvl w:val="0"/>
          <w:numId w:val="14"/>
        </w:numPr>
        <w:rPr>
          <w:rFonts w:asciiTheme="majorHAnsi" w:hAnsiTheme="majorHAnsi"/>
          <w:color w:val="000000"/>
          <w:sz w:val="22"/>
          <w:szCs w:val="22"/>
          <w:lang w:val="fr-FR"/>
        </w:rPr>
      </w:pPr>
      <w:r w:rsidRPr="00F015DD">
        <w:rPr>
          <w:rFonts w:asciiTheme="majorHAnsi" w:hAnsiTheme="majorHAnsi"/>
          <w:b/>
          <w:bCs/>
          <w:color w:val="000000"/>
          <w:sz w:val="22"/>
          <w:szCs w:val="22"/>
          <w:lang w:val="fr-FR"/>
        </w:rPr>
        <w:t xml:space="preserve">Le </w:t>
      </w:r>
      <w:r w:rsidR="00A76BFE">
        <w:rPr>
          <w:rFonts w:asciiTheme="majorHAnsi" w:hAnsiTheme="majorHAnsi"/>
          <w:b/>
          <w:bCs/>
          <w:color w:val="000000"/>
          <w:sz w:val="22"/>
          <w:szCs w:val="22"/>
          <w:lang w:val="fr-FR"/>
        </w:rPr>
        <w:t>moyen de communication</w:t>
      </w:r>
      <w:r w:rsidRPr="00F015DD">
        <w:rPr>
          <w:rFonts w:asciiTheme="majorHAnsi" w:hAnsiTheme="majorHAnsi"/>
          <w:b/>
          <w:bCs/>
          <w:color w:val="000000"/>
          <w:sz w:val="22"/>
          <w:szCs w:val="22"/>
          <w:lang w:val="fr-FR"/>
        </w:rPr>
        <w:t xml:space="preserve"> utilisé</w:t>
      </w:r>
      <w:r w:rsidR="00613B3A" w:rsidRPr="00F015DD">
        <w:rPr>
          <w:rFonts w:asciiTheme="majorHAnsi" w:hAnsiTheme="majorHAnsi"/>
          <w:b/>
          <w:bCs/>
          <w:color w:val="000000"/>
          <w:sz w:val="22"/>
          <w:szCs w:val="22"/>
          <w:lang w:val="fr-FR"/>
        </w:rPr>
        <w:t xml:space="preserve">: </w:t>
      </w:r>
      <w:r w:rsidR="00A76BFE" w:rsidRPr="00A76BFE">
        <w:rPr>
          <w:rFonts w:asciiTheme="majorHAnsi" w:hAnsiTheme="majorHAnsi"/>
          <w:bCs/>
          <w:color w:val="000000"/>
          <w:sz w:val="22"/>
          <w:szCs w:val="22"/>
          <w:lang w:val="fr-FR"/>
        </w:rPr>
        <w:t xml:space="preserve">l’incitation est-elle publique ? </w:t>
      </w:r>
      <w:r w:rsidR="00A76BFE">
        <w:rPr>
          <w:rFonts w:asciiTheme="majorHAnsi" w:hAnsiTheme="majorHAnsi"/>
          <w:bCs/>
          <w:color w:val="000000"/>
          <w:sz w:val="22"/>
          <w:szCs w:val="22"/>
          <w:lang w:val="fr-FR"/>
        </w:rPr>
        <w:t xml:space="preserve">Le moyen de </w:t>
      </w:r>
      <w:proofErr w:type="spellStart"/>
      <w:r w:rsidR="00A76BFE">
        <w:rPr>
          <w:rFonts w:asciiTheme="majorHAnsi" w:hAnsiTheme="majorHAnsi"/>
          <w:bCs/>
          <w:color w:val="000000"/>
          <w:sz w:val="22"/>
          <w:szCs w:val="22"/>
          <w:lang w:val="fr-FR"/>
        </w:rPr>
        <w:t>dissemination</w:t>
      </w:r>
      <w:proofErr w:type="spellEnd"/>
      <w:r w:rsidR="00A76BFE">
        <w:rPr>
          <w:rFonts w:asciiTheme="majorHAnsi" w:hAnsiTheme="majorHAnsi"/>
          <w:bCs/>
          <w:color w:val="000000"/>
          <w:sz w:val="22"/>
          <w:szCs w:val="22"/>
          <w:lang w:val="fr-FR"/>
        </w:rPr>
        <w:t xml:space="preserve"> est-il de grande </w:t>
      </w:r>
      <w:proofErr w:type="gramStart"/>
      <w:r w:rsidR="00A76BFE">
        <w:rPr>
          <w:rFonts w:asciiTheme="majorHAnsi" w:hAnsiTheme="majorHAnsi"/>
          <w:bCs/>
          <w:color w:val="000000"/>
          <w:sz w:val="22"/>
          <w:szCs w:val="22"/>
          <w:lang w:val="fr-FR"/>
        </w:rPr>
        <w:t>port</w:t>
      </w:r>
      <w:r w:rsidRPr="00F015DD">
        <w:rPr>
          <w:rFonts w:asciiTheme="majorHAnsi" w:hAnsiTheme="majorHAnsi"/>
          <w:color w:val="000000"/>
          <w:sz w:val="22"/>
          <w:szCs w:val="22"/>
          <w:lang w:val="fr-FR"/>
        </w:rPr>
        <w:t>é</w:t>
      </w:r>
      <w:r w:rsidR="00F015DD" w:rsidRPr="00F015DD">
        <w:rPr>
          <w:rFonts w:asciiTheme="majorHAnsi" w:hAnsiTheme="majorHAnsi"/>
          <w:color w:val="000000"/>
          <w:sz w:val="22"/>
          <w:szCs w:val="22"/>
          <w:lang w:val="fr-FR"/>
        </w:rPr>
        <w:t>e</w:t>
      </w:r>
      <w:proofErr w:type="gramEnd"/>
      <w:r w:rsidR="00A76BFE">
        <w:rPr>
          <w:rFonts w:asciiTheme="majorHAnsi" w:hAnsiTheme="majorHAnsi"/>
          <w:color w:val="000000"/>
          <w:sz w:val="22"/>
          <w:szCs w:val="22"/>
          <w:lang w:val="fr-FR"/>
        </w:rPr>
        <w:t> ? (comparer par exemple, un discours communiqué par les medias audiovisuels et un simple prospectus dans une boite aux lettres)</w:t>
      </w:r>
      <w:r w:rsidRPr="00F015DD">
        <w:rPr>
          <w:rFonts w:asciiTheme="majorHAnsi" w:hAnsiTheme="majorHAnsi"/>
          <w:color w:val="000000"/>
          <w:sz w:val="22"/>
          <w:szCs w:val="22"/>
          <w:lang w:val="fr-FR"/>
        </w:rPr>
        <w:t xml:space="preserve"> </w:t>
      </w:r>
    </w:p>
    <w:p w14:paraId="440BF78C" w14:textId="07874408" w:rsidR="000B1B64" w:rsidRPr="00F015DD" w:rsidRDefault="00F072D6" w:rsidP="00F072D6">
      <w:pPr>
        <w:numPr>
          <w:ilvl w:val="0"/>
          <w:numId w:val="14"/>
        </w:numPr>
        <w:rPr>
          <w:rFonts w:asciiTheme="majorHAnsi" w:hAnsiTheme="majorHAnsi"/>
          <w:color w:val="000000"/>
          <w:sz w:val="22"/>
          <w:szCs w:val="22"/>
          <w:lang w:val="fr-FR"/>
        </w:rPr>
      </w:pPr>
      <w:r w:rsidRPr="00F015DD">
        <w:rPr>
          <w:rFonts w:asciiTheme="majorHAnsi" w:hAnsiTheme="majorHAnsi"/>
          <w:b/>
          <w:bCs/>
          <w:color w:val="000000"/>
          <w:sz w:val="22"/>
          <w:szCs w:val="22"/>
          <w:lang w:val="fr-FR"/>
        </w:rPr>
        <w:t>L’a</w:t>
      </w:r>
      <w:r w:rsidR="00613B3A" w:rsidRPr="00F015DD">
        <w:rPr>
          <w:rFonts w:asciiTheme="majorHAnsi" w:hAnsiTheme="majorHAnsi"/>
          <w:b/>
          <w:bCs/>
          <w:color w:val="000000"/>
          <w:sz w:val="22"/>
          <w:szCs w:val="22"/>
          <w:lang w:val="fr-FR"/>
        </w:rPr>
        <w:t>udience:</w:t>
      </w:r>
      <w:r w:rsidR="00613B3A" w:rsidRPr="00F015DD">
        <w:rPr>
          <w:rFonts w:asciiTheme="majorHAnsi" w:hAnsiTheme="majorHAnsi"/>
          <w:color w:val="000000"/>
          <w:sz w:val="22"/>
          <w:szCs w:val="22"/>
          <w:lang w:val="fr-FR"/>
        </w:rPr>
        <w:t xml:space="preserve"> </w:t>
      </w:r>
      <w:r w:rsidR="00F015DD" w:rsidRPr="00F015DD">
        <w:rPr>
          <w:rFonts w:asciiTheme="majorHAnsi" w:hAnsiTheme="majorHAnsi"/>
          <w:color w:val="000000"/>
          <w:sz w:val="22"/>
          <w:szCs w:val="22"/>
          <w:lang w:val="fr-FR"/>
        </w:rPr>
        <w:t xml:space="preserve">quelle est la </w:t>
      </w:r>
      <w:r w:rsidRPr="00F015DD">
        <w:rPr>
          <w:rFonts w:asciiTheme="majorHAnsi" w:hAnsiTheme="majorHAnsi"/>
          <w:color w:val="000000"/>
          <w:sz w:val="22"/>
          <w:szCs w:val="22"/>
          <w:lang w:val="fr-FR"/>
        </w:rPr>
        <w:t>taille de l’audience? comment a-t-elle réagi au discours/à l’orateur</w:t>
      </w:r>
      <w:r w:rsidR="00613B3A" w:rsidRPr="00F015DD">
        <w:rPr>
          <w:rFonts w:asciiTheme="majorHAnsi" w:hAnsiTheme="majorHAnsi"/>
          <w:color w:val="000000"/>
          <w:sz w:val="22"/>
          <w:szCs w:val="22"/>
          <w:lang w:val="fr-FR"/>
        </w:rPr>
        <w:t xml:space="preserve">? </w:t>
      </w:r>
      <w:r w:rsidRPr="00F015DD">
        <w:rPr>
          <w:rFonts w:asciiTheme="majorHAnsi" w:hAnsiTheme="majorHAnsi"/>
          <w:color w:val="000000"/>
          <w:sz w:val="22"/>
          <w:szCs w:val="22"/>
          <w:lang w:val="fr-FR"/>
        </w:rPr>
        <w:t>a-t-e</w:t>
      </w:r>
      <w:r w:rsidR="00C46469" w:rsidRPr="00F015DD">
        <w:rPr>
          <w:rFonts w:asciiTheme="majorHAnsi" w:hAnsiTheme="majorHAnsi"/>
          <w:color w:val="000000"/>
          <w:sz w:val="22"/>
          <w:szCs w:val="22"/>
          <w:lang w:val="fr-FR"/>
        </w:rPr>
        <w:t>lle les moyens d’agir selon le discours (par exemple, l’au</w:t>
      </w:r>
      <w:r w:rsidRPr="00F015DD">
        <w:rPr>
          <w:rFonts w:asciiTheme="majorHAnsi" w:hAnsiTheme="majorHAnsi"/>
          <w:color w:val="000000"/>
          <w:sz w:val="22"/>
          <w:szCs w:val="22"/>
          <w:lang w:val="fr-FR"/>
        </w:rPr>
        <w:t>d</w:t>
      </w:r>
      <w:r w:rsidR="00C46469" w:rsidRPr="00F015DD">
        <w:rPr>
          <w:rFonts w:asciiTheme="majorHAnsi" w:hAnsiTheme="majorHAnsi"/>
          <w:color w:val="000000"/>
          <w:sz w:val="22"/>
          <w:szCs w:val="22"/>
          <w:lang w:val="fr-FR"/>
        </w:rPr>
        <w:t>i</w:t>
      </w:r>
      <w:r w:rsidRPr="00F015DD">
        <w:rPr>
          <w:rFonts w:asciiTheme="majorHAnsi" w:hAnsiTheme="majorHAnsi"/>
          <w:color w:val="000000"/>
          <w:sz w:val="22"/>
          <w:szCs w:val="22"/>
          <w:lang w:val="fr-FR"/>
        </w:rPr>
        <w:t xml:space="preserve">ence était-elle en mesure de commettre des actes de discrimination, de violence, d’hostilité?) Le discours </w:t>
      </w:r>
      <w:r w:rsidR="00F015DD" w:rsidRPr="00F015DD">
        <w:rPr>
          <w:rFonts w:asciiTheme="majorHAnsi" w:hAnsiTheme="majorHAnsi"/>
          <w:color w:val="000000"/>
          <w:sz w:val="22"/>
          <w:szCs w:val="22"/>
          <w:lang w:val="fr-FR"/>
        </w:rPr>
        <w:t xml:space="preserve">peut-il </w:t>
      </w:r>
      <w:proofErr w:type="spellStart"/>
      <w:r w:rsidR="00F015DD" w:rsidRPr="00F015DD">
        <w:rPr>
          <w:rFonts w:asciiTheme="majorHAnsi" w:hAnsiTheme="majorHAnsi"/>
          <w:color w:val="000000"/>
          <w:sz w:val="22"/>
          <w:szCs w:val="22"/>
          <w:lang w:val="fr-FR"/>
        </w:rPr>
        <w:t>etre</w:t>
      </w:r>
      <w:proofErr w:type="spellEnd"/>
      <w:r w:rsidR="00F015DD" w:rsidRPr="00F015DD">
        <w:rPr>
          <w:rFonts w:asciiTheme="majorHAnsi" w:hAnsiTheme="majorHAnsi"/>
          <w:color w:val="000000"/>
          <w:sz w:val="22"/>
          <w:szCs w:val="22"/>
          <w:lang w:val="fr-FR"/>
        </w:rPr>
        <w:t xml:space="preserve"> </w:t>
      </w:r>
      <w:r w:rsidRPr="00F015DD">
        <w:rPr>
          <w:rFonts w:asciiTheme="majorHAnsi" w:hAnsiTheme="majorHAnsi"/>
          <w:color w:val="000000"/>
          <w:sz w:val="22"/>
          <w:szCs w:val="22"/>
          <w:lang w:val="fr-FR"/>
        </w:rPr>
        <w:t>raisonnablement compris par l’audience comme étant un appel à la discrimination, la violence ou l’hostilité</w:t>
      </w:r>
      <w:r w:rsidR="00613B3A" w:rsidRPr="00F015DD">
        <w:rPr>
          <w:rFonts w:asciiTheme="majorHAnsi" w:hAnsiTheme="majorHAnsi"/>
          <w:color w:val="000000"/>
          <w:sz w:val="22"/>
          <w:szCs w:val="22"/>
          <w:lang w:val="fr-FR"/>
        </w:rPr>
        <w:t xml:space="preserve">? </w:t>
      </w:r>
      <w:r w:rsidR="0079455F" w:rsidRPr="00F015DD">
        <w:rPr>
          <w:rStyle w:val="FootnoteReference"/>
          <w:rFonts w:asciiTheme="majorHAnsi" w:hAnsiTheme="majorHAnsi"/>
          <w:color w:val="000000"/>
          <w:sz w:val="22"/>
          <w:szCs w:val="22"/>
          <w:lang w:val="fr-FR"/>
        </w:rPr>
        <w:footnoteReference w:id="26"/>
      </w:r>
    </w:p>
    <w:p w14:paraId="1A247E2B" w14:textId="77777777" w:rsidR="00B11F4B" w:rsidRPr="00F015DD" w:rsidRDefault="00B11F4B" w:rsidP="0079455F">
      <w:pPr>
        <w:rPr>
          <w:rFonts w:asciiTheme="majorHAnsi" w:hAnsiTheme="majorHAnsi"/>
          <w:b/>
          <w:i/>
          <w:lang w:val="fr-FR"/>
        </w:rPr>
      </w:pPr>
    </w:p>
    <w:p w14:paraId="0508F5F7" w14:textId="77777777" w:rsidR="00B11F4B" w:rsidRPr="00F015DD" w:rsidRDefault="00E302C3" w:rsidP="00E302C3">
      <w:pPr>
        <w:jc w:val="both"/>
        <w:rPr>
          <w:rFonts w:asciiTheme="majorHAnsi" w:hAnsiTheme="majorHAnsi"/>
          <w:b/>
          <w:i/>
          <w:lang w:val="fr-FR"/>
        </w:rPr>
      </w:pPr>
      <w:r w:rsidRPr="00F015DD">
        <w:rPr>
          <w:rFonts w:asciiTheme="majorHAnsi" w:hAnsiTheme="majorHAnsi"/>
          <w:b/>
          <w:i/>
          <w:lang w:val="fr-FR"/>
        </w:rPr>
        <w:t>Violation des normes internationales: la</w:t>
      </w:r>
      <w:r w:rsidR="005743D7" w:rsidRPr="00F015DD">
        <w:rPr>
          <w:rFonts w:asciiTheme="majorHAnsi" w:hAnsiTheme="majorHAnsi"/>
          <w:b/>
          <w:i/>
          <w:lang w:val="fr-FR"/>
        </w:rPr>
        <w:t xml:space="preserve"> notion </w:t>
      </w:r>
      <w:r w:rsidRPr="00F015DD">
        <w:rPr>
          <w:rFonts w:asciiTheme="majorHAnsi" w:hAnsiTheme="majorHAnsi"/>
          <w:b/>
          <w:i/>
          <w:lang w:val="fr-FR"/>
        </w:rPr>
        <w:t xml:space="preserve">d’incitation à la haine contre le régime </w:t>
      </w:r>
    </w:p>
    <w:p w14:paraId="43D0BD00" w14:textId="77777777" w:rsidR="00B11F4B" w:rsidRPr="00F015DD" w:rsidRDefault="00B11F4B" w:rsidP="005743D7">
      <w:pPr>
        <w:jc w:val="both"/>
        <w:rPr>
          <w:rFonts w:asciiTheme="majorHAnsi" w:hAnsiTheme="majorHAnsi"/>
          <w:b/>
          <w:u w:val="single"/>
          <w:lang w:val="fr-FR"/>
        </w:rPr>
      </w:pPr>
    </w:p>
    <w:p w14:paraId="39EF92A6" w14:textId="61262021" w:rsidR="00CF23AF" w:rsidRPr="00F015DD" w:rsidRDefault="00E302C3" w:rsidP="009B5220">
      <w:pPr>
        <w:widowControl w:val="0"/>
        <w:autoSpaceDE w:val="0"/>
        <w:autoSpaceDN w:val="0"/>
        <w:adjustRightInd w:val="0"/>
        <w:jc w:val="both"/>
        <w:rPr>
          <w:rFonts w:asciiTheme="majorHAnsi" w:hAnsiTheme="majorHAnsi" w:cs="Times"/>
          <w:lang w:val="fr-FR"/>
        </w:rPr>
      </w:pPr>
      <w:r w:rsidRPr="00F015DD">
        <w:rPr>
          <w:rFonts w:asciiTheme="majorHAnsi" w:hAnsiTheme="majorHAnsi" w:cs="Times"/>
          <w:lang w:val="fr-FR"/>
        </w:rPr>
        <w:t>Plusieurs pays criminalisent “l’incitation à la haine co</w:t>
      </w:r>
      <w:r w:rsidR="00523067">
        <w:rPr>
          <w:rFonts w:asciiTheme="majorHAnsi" w:hAnsiTheme="majorHAnsi" w:cs="Times"/>
          <w:lang w:val="fr-FR"/>
        </w:rPr>
        <w:t>ntre le régime”. U</w:t>
      </w:r>
      <w:r w:rsidRPr="00F015DD">
        <w:rPr>
          <w:rFonts w:asciiTheme="majorHAnsi" w:hAnsiTheme="majorHAnsi" w:cs="Times"/>
          <w:lang w:val="fr-FR"/>
        </w:rPr>
        <w:t xml:space="preserve">n tel crime est souvent rapporté à des considérations de sécurité nationale. </w:t>
      </w:r>
    </w:p>
    <w:p w14:paraId="36D9C87E" w14:textId="77777777" w:rsidR="00CF23AF" w:rsidRPr="00F015DD" w:rsidRDefault="00CF23AF" w:rsidP="005743D7">
      <w:pPr>
        <w:widowControl w:val="0"/>
        <w:autoSpaceDE w:val="0"/>
        <w:autoSpaceDN w:val="0"/>
        <w:adjustRightInd w:val="0"/>
        <w:jc w:val="both"/>
        <w:rPr>
          <w:rFonts w:asciiTheme="majorHAnsi" w:hAnsiTheme="majorHAnsi" w:cs="Times"/>
          <w:lang w:val="fr-FR"/>
        </w:rPr>
      </w:pPr>
    </w:p>
    <w:p w14:paraId="5BED499C" w14:textId="77777777" w:rsidR="00CF23AF" w:rsidRPr="00F015DD" w:rsidRDefault="009B5220" w:rsidP="00D008B6">
      <w:pPr>
        <w:widowControl w:val="0"/>
        <w:autoSpaceDE w:val="0"/>
        <w:autoSpaceDN w:val="0"/>
        <w:adjustRightInd w:val="0"/>
        <w:jc w:val="both"/>
        <w:rPr>
          <w:rFonts w:asciiTheme="majorHAnsi" w:hAnsiTheme="majorHAnsi" w:cs="Times"/>
          <w:lang w:val="fr-FR"/>
        </w:rPr>
      </w:pPr>
      <w:r w:rsidRPr="00F015DD">
        <w:rPr>
          <w:rFonts w:asciiTheme="majorHAnsi" w:hAnsiTheme="majorHAnsi" w:cs="Times"/>
          <w:lang w:val="fr-FR"/>
        </w:rPr>
        <w:t xml:space="preserve">La criminalisation de l’incitation à “la haine contre le régime” </w:t>
      </w:r>
      <w:r w:rsidR="00976042" w:rsidRPr="00F015DD">
        <w:rPr>
          <w:rFonts w:asciiTheme="majorHAnsi" w:hAnsiTheme="majorHAnsi" w:cs="Times"/>
          <w:lang w:val="fr-FR"/>
        </w:rPr>
        <w:t xml:space="preserve">est </w:t>
      </w:r>
      <w:r w:rsidRPr="00F015DD">
        <w:rPr>
          <w:rFonts w:asciiTheme="majorHAnsi" w:hAnsiTheme="majorHAnsi" w:cs="Times"/>
          <w:lang w:val="fr-FR"/>
        </w:rPr>
        <w:t xml:space="preserve">problématique d’un point de vue de droit international. Etant donné que les dispositions limitent le droit à la liberté d’expression, elles doivent quand même satisfaire aux conditions prévues par les articles 19 et 20 de l’ICCPR. La criminalisation doit donc “être prévue par la loi”, doit </w:t>
      </w:r>
      <w:r w:rsidR="00D008B6" w:rsidRPr="00F015DD">
        <w:rPr>
          <w:rFonts w:asciiTheme="majorHAnsi" w:hAnsiTheme="majorHAnsi" w:cs="Times"/>
          <w:lang w:val="fr-FR"/>
        </w:rPr>
        <w:t xml:space="preserve">répondre à un objectif légitime expressément cité dans le paragraphe 3 de l’article 19 et </w:t>
      </w:r>
      <w:r w:rsidR="00D008B6" w:rsidRPr="00F015DD">
        <w:rPr>
          <w:rFonts w:asciiTheme="majorHAnsi" w:hAnsiTheme="majorHAnsi" w:cs="Times"/>
          <w:lang w:val="fr-FR"/>
        </w:rPr>
        <w:lastRenderedPageBreak/>
        <w:t xml:space="preserve">être proportionnelle aux objectifs recherchés.  </w:t>
      </w:r>
      <w:r w:rsidRPr="00F015DD">
        <w:rPr>
          <w:rFonts w:asciiTheme="majorHAnsi" w:hAnsiTheme="majorHAnsi" w:cs="Times"/>
          <w:lang w:val="fr-FR"/>
        </w:rPr>
        <w:t xml:space="preserve"> </w:t>
      </w:r>
    </w:p>
    <w:p w14:paraId="392DDC95" w14:textId="77777777" w:rsidR="00CF23AF" w:rsidRPr="00F015DD" w:rsidRDefault="00CF23AF" w:rsidP="005743D7">
      <w:pPr>
        <w:widowControl w:val="0"/>
        <w:autoSpaceDE w:val="0"/>
        <w:autoSpaceDN w:val="0"/>
        <w:adjustRightInd w:val="0"/>
        <w:jc w:val="both"/>
        <w:rPr>
          <w:rFonts w:asciiTheme="majorHAnsi" w:hAnsiTheme="majorHAnsi" w:cs="Times"/>
          <w:lang w:val="fr-FR"/>
        </w:rPr>
      </w:pPr>
    </w:p>
    <w:p w14:paraId="2F742416" w14:textId="3AA97101" w:rsidR="00CF23AF" w:rsidRPr="00F015DD" w:rsidRDefault="00D008B6" w:rsidP="00584866">
      <w:pPr>
        <w:widowControl w:val="0"/>
        <w:autoSpaceDE w:val="0"/>
        <w:autoSpaceDN w:val="0"/>
        <w:adjustRightInd w:val="0"/>
        <w:jc w:val="both"/>
        <w:rPr>
          <w:rFonts w:asciiTheme="majorHAnsi" w:hAnsiTheme="majorHAnsi" w:cs="Times"/>
          <w:lang w:val="fr-FR"/>
        </w:rPr>
      </w:pPr>
      <w:r w:rsidRPr="00F015DD">
        <w:rPr>
          <w:rFonts w:asciiTheme="majorHAnsi" w:hAnsiTheme="majorHAnsi" w:cs="Times"/>
          <w:lang w:val="fr-FR"/>
        </w:rPr>
        <w:t xml:space="preserve">Le terme </w:t>
      </w:r>
      <w:r w:rsidR="00CF23AF" w:rsidRPr="00F015DD">
        <w:rPr>
          <w:rFonts w:asciiTheme="majorHAnsi" w:hAnsiTheme="majorHAnsi" w:cs="Times"/>
          <w:lang w:val="fr-FR"/>
        </w:rPr>
        <w:t>“</w:t>
      </w:r>
      <w:r w:rsidRPr="00F015DD">
        <w:rPr>
          <w:rFonts w:asciiTheme="majorHAnsi" w:hAnsiTheme="majorHAnsi" w:cs="Times"/>
          <w:lang w:val="fr-FR"/>
        </w:rPr>
        <w:t>haine contre le régime</w:t>
      </w:r>
      <w:r w:rsidR="00CF23AF" w:rsidRPr="00F015DD">
        <w:rPr>
          <w:rFonts w:asciiTheme="majorHAnsi" w:hAnsiTheme="majorHAnsi" w:cs="Times"/>
          <w:lang w:val="fr-FR"/>
        </w:rPr>
        <w:t xml:space="preserve">” </w:t>
      </w:r>
      <w:r w:rsidRPr="00F015DD">
        <w:rPr>
          <w:rFonts w:asciiTheme="majorHAnsi" w:hAnsiTheme="majorHAnsi" w:cs="Times"/>
          <w:lang w:val="fr-FR"/>
        </w:rPr>
        <w:t xml:space="preserve">n’est pas clair et il a une portée vaste qui ouvre la porte </w:t>
      </w:r>
      <w:r w:rsidR="00523067">
        <w:rPr>
          <w:rFonts w:asciiTheme="majorHAnsi" w:hAnsiTheme="majorHAnsi" w:cs="Times"/>
          <w:lang w:val="fr-FR"/>
        </w:rPr>
        <w:t xml:space="preserve">à </w:t>
      </w:r>
      <w:r w:rsidRPr="00F015DD">
        <w:rPr>
          <w:rFonts w:asciiTheme="majorHAnsi" w:hAnsiTheme="majorHAnsi" w:cs="Times"/>
          <w:lang w:val="fr-FR"/>
        </w:rPr>
        <w:t xml:space="preserve">des interprétations arbitraires et des abus et peut même être utilisé pour limiter </w:t>
      </w:r>
      <w:r w:rsidR="00584866" w:rsidRPr="00F015DD">
        <w:rPr>
          <w:rFonts w:asciiTheme="majorHAnsi" w:hAnsiTheme="majorHAnsi" w:cs="Times"/>
          <w:lang w:val="fr-FR"/>
        </w:rPr>
        <w:t>l’expression légitime dont la critique du gouvernement</w:t>
      </w:r>
      <w:r w:rsidR="00CF23AF" w:rsidRPr="00F015DD">
        <w:rPr>
          <w:rFonts w:asciiTheme="majorHAnsi" w:hAnsiTheme="majorHAnsi" w:cs="Times"/>
          <w:lang w:val="fr-FR"/>
        </w:rPr>
        <w:t xml:space="preserve">. </w:t>
      </w:r>
      <w:r w:rsidR="00584866" w:rsidRPr="00F015DD">
        <w:rPr>
          <w:rFonts w:asciiTheme="majorHAnsi" w:hAnsiTheme="majorHAnsi" w:cs="Times"/>
          <w:lang w:val="fr-FR"/>
        </w:rPr>
        <w:t xml:space="preserve">Le manque de clarté </w:t>
      </w:r>
      <w:r w:rsidR="00C46469" w:rsidRPr="00F015DD">
        <w:rPr>
          <w:rFonts w:asciiTheme="majorHAnsi" w:hAnsiTheme="majorHAnsi" w:cs="Times"/>
          <w:lang w:val="fr-FR"/>
        </w:rPr>
        <w:t>constitue une mena</w:t>
      </w:r>
      <w:r w:rsidR="00584866" w:rsidRPr="00F015DD">
        <w:rPr>
          <w:rFonts w:asciiTheme="majorHAnsi" w:hAnsiTheme="majorHAnsi" w:cs="Times"/>
          <w:lang w:val="fr-FR"/>
        </w:rPr>
        <w:t xml:space="preserve">ce à la liberté de la critique légitime du gouvernement alors </w:t>
      </w:r>
      <w:r w:rsidR="00C46469" w:rsidRPr="00F015DD">
        <w:rPr>
          <w:rFonts w:asciiTheme="majorHAnsi" w:hAnsiTheme="majorHAnsi" w:cs="Times"/>
          <w:lang w:val="fr-FR"/>
        </w:rPr>
        <w:t xml:space="preserve">que cette dernière </w:t>
      </w:r>
      <w:r w:rsidR="00584866" w:rsidRPr="00F015DD">
        <w:rPr>
          <w:rFonts w:asciiTheme="majorHAnsi" w:hAnsiTheme="majorHAnsi" w:cs="Times"/>
          <w:lang w:val="fr-FR"/>
        </w:rPr>
        <w:t xml:space="preserve">représente un fondement de la société démocratique. </w:t>
      </w:r>
    </w:p>
    <w:p w14:paraId="15991F4F" w14:textId="77777777" w:rsidR="00CF23AF" w:rsidRPr="00F015DD" w:rsidRDefault="00CF23AF" w:rsidP="005743D7">
      <w:pPr>
        <w:widowControl w:val="0"/>
        <w:autoSpaceDE w:val="0"/>
        <w:autoSpaceDN w:val="0"/>
        <w:adjustRightInd w:val="0"/>
        <w:jc w:val="both"/>
        <w:rPr>
          <w:rFonts w:asciiTheme="majorHAnsi" w:hAnsiTheme="majorHAnsi" w:cs="Times"/>
          <w:lang w:val="fr-FR"/>
        </w:rPr>
      </w:pPr>
    </w:p>
    <w:p w14:paraId="2E52DFD5" w14:textId="5144006A" w:rsidR="00CF23AF" w:rsidRPr="00F015DD" w:rsidRDefault="003C4FCB" w:rsidP="003C4FCB">
      <w:pPr>
        <w:widowControl w:val="0"/>
        <w:autoSpaceDE w:val="0"/>
        <w:autoSpaceDN w:val="0"/>
        <w:adjustRightInd w:val="0"/>
        <w:jc w:val="both"/>
        <w:rPr>
          <w:rFonts w:asciiTheme="majorHAnsi" w:hAnsiTheme="majorHAnsi" w:cs="Times"/>
          <w:lang w:val="fr-FR"/>
        </w:rPr>
      </w:pPr>
      <w:r w:rsidRPr="00F015DD">
        <w:rPr>
          <w:rFonts w:asciiTheme="majorHAnsi" w:hAnsiTheme="majorHAnsi" w:cs="Times"/>
          <w:lang w:val="fr-FR"/>
        </w:rPr>
        <w:t>De par le droit international, l</w:t>
      </w:r>
      <w:r w:rsidR="00584866" w:rsidRPr="00F015DD">
        <w:rPr>
          <w:rFonts w:asciiTheme="majorHAnsi" w:hAnsiTheme="majorHAnsi" w:cs="Times"/>
          <w:lang w:val="fr-FR"/>
        </w:rPr>
        <w:t>a restriction n’est pas non plus exigée</w:t>
      </w:r>
      <w:r w:rsidR="00523067">
        <w:rPr>
          <w:rFonts w:asciiTheme="majorHAnsi" w:hAnsiTheme="majorHAnsi" w:cs="Times"/>
          <w:lang w:val="fr-FR"/>
        </w:rPr>
        <w:t>. I</w:t>
      </w:r>
      <w:r w:rsidRPr="00F015DD">
        <w:rPr>
          <w:rFonts w:asciiTheme="majorHAnsi" w:hAnsiTheme="majorHAnsi" w:cs="Times"/>
          <w:lang w:val="fr-FR"/>
        </w:rPr>
        <w:t xml:space="preserve">l faut </w:t>
      </w:r>
      <w:r w:rsidR="00523067">
        <w:rPr>
          <w:rFonts w:asciiTheme="majorHAnsi" w:hAnsiTheme="majorHAnsi" w:cs="Times"/>
          <w:lang w:val="fr-FR"/>
        </w:rPr>
        <w:t xml:space="preserve">clairement </w:t>
      </w:r>
      <w:r w:rsidRPr="00F015DD">
        <w:rPr>
          <w:rFonts w:asciiTheme="majorHAnsi" w:hAnsiTheme="majorHAnsi" w:cs="Times"/>
          <w:lang w:val="fr-FR"/>
        </w:rPr>
        <w:t>la distinguer du type d’incitation interdit par l’article 20 qui établit un lien entre l’incitation et l</w:t>
      </w:r>
      <w:r w:rsidR="00523067">
        <w:rPr>
          <w:rFonts w:asciiTheme="majorHAnsi" w:hAnsiTheme="majorHAnsi" w:cs="Times"/>
          <w:lang w:val="fr-FR"/>
        </w:rPr>
        <w:t>’appel à l</w:t>
      </w:r>
      <w:r w:rsidRPr="00F015DD">
        <w:rPr>
          <w:rFonts w:asciiTheme="majorHAnsi" w:hAnsiTheme="majorHAnsi" w:cs="Times"/>
          <w:lang w:val="fr-FR"/>
        </w:rPr>
        <w:t>a haine pour des raisons nationales, ethniques ou religieuses.</w:t>
      </w:r>
      <w:r w:rsidR="00CF23AF" w:rsidRPr="00F015DD">
        <w:rPr>
          <w:rFonts w:asciiTheme="majorHAnsi" w:hAnsiTheme="majorHAnsi" w:cs="Times"/>
          <w:lang w:val="fr-FR"/>
        </w:rPr>
        <w:t xml:space="preserve">  </w:t>
      </w:r>
      <w:r w:rsidRPr="00F015DD">
        <w:rPr>
          <w:rFonts w:asciiTheme="majorHAnsi" w:hAnsiTheme="majorHAnsi" w:cs="Times"/>
          <w:lang w:val="fr-FR"/>
        </w:rPr>
        <w:t>En vertu du droit intern</w:t>
      </w:r>
      <w:r w:rsidR="00C46469" w:rsidRPr="00F015DD">
        <w:rPr>
          <w:rFonts w:asciiTheme="majorHAnsi" w:hAnsiTheme="majorHAnsi" w:cs="Times"/>
          <w:lang w:val="fr-FR"/>
        </w:rPr>
        <w:t>ational des droits de l’homme, l</w:t>
      </w:r>
      <w:r w:rsidRPr="00F015DD">
        <w:rPr>
          <w:rFonts w:asciiTheme="majorHAnsi" w:hAnsiTheme="majorHAnsi" w:cs="Times"/>
          <w:lang w:val="fr-FR"/>
        </w:rPr>
        <w:t xml:space="preserve">es restrictions imposées </w:t>
      </w:r>
      <w:r w:rsidR="00C46469" w:rsidRPr="00F015DD">
        <w:rPr>
          <w:rFonts w:asciiTheme="majorHAnsi" w:hAnsiTheme="majorHAnsi" w:cs="Times"/>
          <w:lang w:val="fr-FR"/>
        </w:rPr>
        <w:t>à</w:t>
      </w:r>
      <w:r w:rsidRPr="00F015DD">
        <w:rPr>
          <w:rFonts w:asciiTheme="majorHAnsi" w:hAnsiTheme="majorHAnsi" w:cs="Times"/>
          <w:lang w:val="fr-FR"/>
        </w:rPr>
        <w:t xml:space="preserve"> la liberté d’expression ne sont ni nécessaires ni proportionnelles</w:t>
      </w:r>
      <w:r w:rsidR="00CF23AF" w:rsidRPr="00F015DD">
        <w:rPr>
          <w:rFonts w:asciiTheme="majorHAnsi" w:hAnsiTheme="majorHAnsi" w:cs="Times"/>
          <w:lang w:val="fr-FR"/>
        </w:rPr>
        <w:t>.</w:t>
      </w:r>
    </w:p>
    <w:p w14:paraId="3C61C8D1" w14:textId="77777777" w:rsidR="00B11F4B" w:rsidRPr="00F015DD" w:rsidRDefault="00B11F4B" w:rsidP="00D727BE">
      <w:pPr>
        <w:jc w:val="both"/>
        <w:rPr>
          <w:rFonts w:asciiTheme="majorHAnsi" w:hAnsiTheme="majorHAnsi"/>
          <w:sz w:val="22"/>
          <w:szCs w:val="22"/>
          <w:lang w:val="fr-FR"/>
        </w:rPr>
      </w:pPr>
    </w:p>
    <w:p w14:paraId="0E61DCFC" w14:textId="77777777" w:rsidR="00CF478C" w:rsidRPr="00F015DD" w:rsidRDefault="00272F1D" w:rsidP="003C4FCB">
      <w:pPr>
        <w:spacing w:line="276" w:lineRule="auto"/>
        <w:jc w:val="both"/>
        <w:rPr>
          <w:rFonts w:asciiTheme="majorHAnsi" w:hAnsiTheme="majorHAnsi"/>
          <w:bCs/>
          <w:szCs w:val="22"/>
          <w:lang w:val="fr-FR"/>
        </w:rPr>
      </w:pPr>
      <w:r w:rsidRPr="00F015DD">
        <w:rPr>
          <w:rFonts w:asciiTheme="majorHAnsi" w:hAnsiTheme="majorHAnsi"/>
          <w:b/>
          <w:u w:val="single"/>
          <w:lang w:val="fr-FR"/>
        </w:rPr>
        <w:t>I.3</w:t>
      </w:r>
      <w:r w:rsidR="00842C0D" w:rsidRPr="00F015DD">
        <w:rPr>
          <w:rFonts w:asciiTheme="majorHAnsi" w:hAnsiTheme="majorHAnsi"/>
          <w:b/>
          <w:u w:val="single"/>
          <w:lang w:val="fr-FR"/>
        </w:rPr>
        <w:t xml:space="preserve">. </w:t>
      </w:r>
      <w:r w:rsidR="003C4FCB" w:rsidRPr="00F015DD">
        <w:rPr>
          <w:rFonts w:asciiTheme="majorHAnsi" w:hAnsiTheme="majorHAnsi"/>
          <w:b/>
          <w:u w:val="single"/>
          <w:lang w:val="fr-FR"/>
        </w:rPr>
        <w:t>Davantage d’élaboration et de clarification</w:t>
      </w:r>
      <w:proofErr w:type="gramStart"/>
      <w:r w:rsidR="00BE616B" w:rsidRPr="00F015DD">
        <w:rPr>
          <w:rFonts w:asciiTheme="majorHAnsi" w:hAnsiTheme="majorHAnsi"/>
          <w:b/>
          <w:u w:val="single"/>
          <w:lang w:val="fr-FR"/>
        </w:rPr>
        <w:t xml:space="preserve">:  </w:t>
      </w:r>
      <w:r w:rsidR="003C4FCB" w:rsidRPr="00F015DD">
        <w:rPr>
          <w:rFonts w:asciiTheme="majorHAnsi" w:hAnsiTheme="majorHAnsi"/>
          <w:b/>
          <w:u w:val="single"/>
          <w:lang w:val="fr-FR"/>
        </w:rPr>
        <w:t>Les</w:t>
      </w:r>
      <w:proofErr w:type="gramEnd"/>
      <w:r w:rsidR="003C4FCB" w:rsidRPr="00F015DD">
        <w:rPr>
          <w:rFonts w:asciiTheme="majorHAnsi" w:hAnsiTheme="majorHAnsi"/>
          <w:b/>
          <w:u w:val="single"/>
          <w:lang w:val="fr-FR"/>
        </w:rPr>
        <w:t xml:space="preserve"> principes de </w:t>
      </w:r>
      <w:r w:rsidR="00205AC7" w:rsidRPr="00F015DD">
        <w:rPr>
          <w:rFonts w:asciiTheme="majorHAnsi" w:hAnsiTheme="majorHAnsi"/>
          <w:b/>
          <w:bCs/>
          <w:szCs w:val="22"/>
          <w:u w:val="single"/>
          <w:lang w:val="fr-FR"/>
        </w:rPr>
        <w:t xml:space="preserve">Johannesburg </w:t>
      </w:r>
    </w:p>
    <w:p w14:paraId="5B6767F7" w14:textId="77777777" w:rsidR="00D727BE" w:rsidRPr="00F015DD" w:rsidRDefault="00D727BE" w:rsidP="00BE616B">
      <w:pPr>
        <w:widowControl w:val="0"/>
        <w:autoSpaceDE w:val="0"/>
        <w:autoSpaceDN w:val="0"/>
        <w:adjustRightInd w:val="0"/>
        <w:jc w:val="both"/>
        <w:rPr>
          <w:rFonts w:asciiTheme="majorHAnsi" w:hAnsiTheme="majorHAnsi"/>
          <w:bCs/>
          <w:lang w:val="fr-FR"/>
        </w:rPr>
      </w:pPr>
    </w:p>
    <w:p w14:paraId="290C6651" w14:textId="09CA6E0B" w:rsidR="00BE616B" w:rsidRPr="00F015DD" w:rsidRDefault="003C4FCB" w:rsidP="008429B8">
      <w:pPr>
        <w:widowControl w:val="0"/>
        <w:autoSpaceDE w:val="0"/>
        <w:autoSpaceDN w:val="0"/>
        <w:adjustRightInd w:val="0"/>
        <w:jc w:val="both"/>
        <w:rPr>
          <w:rFonts w:asciiTheme="majorHAnsi" w:hAnsiTheme="majorHAnsi" w:cs="Verdana"/>
          <w:color w:val="171717"/>
          <w:sz w:val="22"/>
          <w:szCs w:val="22"/>
          <w:lang w:val="fr-FR"/>
        </w:rPr>
      </w:pPr>
      <w:r w:rsidRPr="00F015DD">
        <w:rPr>
          <w:rFonts w:asciiTheme="majorHAnsi" w:hAnsiTheme="majorHAnsi" w:cs="Verdana"/>
          <w:color w:val="171717"/>
          <w:sz w:val="22"/>
          <w:szCs w:val="22"/>
          <w:lang w:val="fr-FR"/>
        </w:rPr>
        <w:t>En</w:t>
      </w:r>
      <w:r w:rsidR="00BE616B" w:rsidRPr="00F015DD">
        <w:rPr>
          <w:rFonts w:asciiTheme="majorHAnsi" w:hAnsiTheme="majorHAnsi" w:cs="Verdana"/>
          <w:color w:val="171717"/>
          <w:sz w:val="22"/>
          <w:szCs w:val="22"/>
          <w:lang w:val="fr-FR"/>
        </w:rPr>
        <w:t xml:space="preserve"> 1995, </w:t>
      </w:r>
      <w:r w:rsidRPr="00F015DD">
        <w:rPr>
          <w:rFonts w:asciiTheme="majorHAnsi" w:hAnsiTheme="majorHAnsi" w:cs="Verdana"/>
          <w:color w:val="171717"/>
          <w:sz w:val="22"/>
          <w:szCs w:val="22"/>
          <w:lang w:val="fr-FR"/>
        </w:rPr>
        <w:t xml:space="preserve">un groupe d’experts en droit international, en sécurité nationale et en droits de l’homme s’est réuni pour discuter et clarifier la relation </w:t>
      </w:r>
      <w:r w:rsidR="003E30D4" w:rsidRPr="00F015DD">
        <w:rPr>
          <w:rFonts w:asciiTheme="majorHAnsi" w:hAnsiTheme="majorHAnsi" w:cs="Verdana"/>
          <w:color w:val="171717"/>
          <w:sz w:val="22"/>
          <w:szCs w:val="22"/>
          <w:lang w:val="fr-FR"/>
        </w:rPr>
        <w:t>entre la sécurité nationale et la liberté d’expression</w:t>
      </w:r>
      <w:r w:rsidR="003E30D4" w:rsidRPr="00F015DD">
        <w:rPr>
          <w:rFonts w:asciiTheme="majorHAnsi" w:hAnsiTheme="majorHAnsi" w:cs="Verdana"/>
          <w:bCs/>
          <w:color w:val="171717"/>
          <w:sz w:val="22"/>
          <w:szCs w:val="22"/>
          <w:lang w:val="fr-FR"/>
        </w:rPr>
        <w:t xml:space="preserve"> et c’est suite aux discussions de ce groupe que les  Principes de Jo</w:t>
      </w:r>
      <w:r w:rsidR="00C46469" w:rsidRPr="00F015DD">
        <w:rPr>
          <w:rFonts w:asciiTheme="majorHAnsi" w:hAnsiTheme="majorHAnsi" w:cs="Verdana"/>
          <w:bCs/>
          <w:color w:val="171717"/>
          <w:sz w:val="22"/>
          <w:szCs w:val="22"/>
          <w:lang w:val="fr-FR"/>
        </w:rPr>
        <w:t>hannesburg ont vu le jour. Ces p</w:t>
      </w:r>
      <w:r w:rsidR="003E30D4" w:rsidRPr="00F015DD">
        <w:rPr>
          <w:rFonts w:asciiTheme="majorHAnsi" w:hAnsiTheme="majorHAnsi" w:cs="Verdana"/>
          <w:bCs/>
          <w:color w:val="171717"/>
          <w:sz w:val="22"/>
          <w:szCs w:val="22"/>
          <w:lang w:val="fr-FR"/>
        </w:rPr>
        <w:t>rincipes trouvent leurs fondements dans le dr</w:t>
      </w:r>
      <w:r w:rsidR="00286FC4">
        <w:rPr>
          <w:rFonts w:asciiTheme="majorHAnsi" w:hAnsiTheme="majorHAnsi" w:cs="Verdana"/>
          <w:bCs/>
          <w:color w:val="171717"/>
          <w:sz w:val="22"/>
          <w:szCs w:val="22"/>
          <w:lang w:val="fr-FR"/>
        </w:rPr>
        <w:t>oit et les normes internationales et régionales</w:t>
      </w:r>
      <w:r w:rsidR="003E30D4" w:rsidRPr="00F015DD">
        <w:rPr>
          <w:rFonts w:asciiTheme="majorHAnsi" w:hAnsiTheme="majorHAnsi" w:cs="Verdana"/>
          <w:bCs/>
          <w:color w:val="171717"/>
          <w:sz w:val="22"/>
          <w:szCs w:val="22"/>
          <w:lang w:val="fr-FR"/>
        </w:rPr>
        <w:t xml:space="preserve"> portant sur la protection des droits </w:t>
      </w:r>
      <w:r w:rsidR="00286FC4">
        <w:rPr>
          <w:rFonts w:asciiTheme="majorHAnsi" w:hAnsiTheme="majorHAnsi" w:cs="Verdana"/>
          <w:bCs/>
          <w:color w:val="171717"/>
          <w:sz w:val="22"/>
          <w:szCs w:val="22"/>
          <w:lang w:val="fr-FR"/>
        </w:rPr>
        <w:t>humains</w:t>
      </w:r>
      <w:r w:rsidR="003E30D4" w:rsidRPr="00F015DD">
        <w:rPr>
          <w:rFonts w:asciiTheme="majorHAnsi" w:hAnsiTheme="majorHAnsi" w:cs="Verdana"/>
          <w:bCs/>
          <w:color w:val="171717"/>
          <w:sz w:val="22"/>
          <w:szCs w:val="22"/>
          <w:lang w:val="fr-FR"/>
        </w:rPr>
        <w:t>, l</w:t>
      </w:r>
      <w:r w:rsidR="008429B8" w:rsidRPr="00F015DD">
        <w:rPr>
          <w:rFonts w:asciiTheme="majorHAnsi" w:hAnsiTheme="majorHAnsi" w:cs="Verdana"/>
          <w:bCs/>
          <w:color w:val="171717"/>
          <w:sz w:val="22"/>
          <w:szCs w:val="22"/>
          <w:lang w:val="fr-FR"/>
        </w:rPr>
        <w:t>a pratique</w:t>
      </w:r>
      <w:r w:rsidR="003E30D4" w:rsidRPr="00F015DD">
        <w:rPr>
          <w:rFonts w:asciiTheme="majorHAnsi" w:hAnsiTheme="majorHAnsi" w:cs="Verdana"/>
          <w:bCs/>
          <w:color w:val="171717"/>
          <w:sz w:val="22"/>
          <w:szCs w:val="22"/>
          <w:lang w:val="fr-FR"/>
        </w:rPr>
        <w:t xml:space="preserve"> </w:t>
      </w:r>
      <w:r w:rsidR="008429B8" w:rsidRPr="00F015DD">
        <w:rPr>
          <w:rFonts w:asciiTheme="majorHAnsi" w:hAnsiTheme="majorHAnsi" w:cs="Verdana"/>
          <w:bCs/>
          <w:color w:val="171717"/>
          <w:sz w:val="22"/>
          <w:szCs w:val="22"/>
          <w:lang w:val="fr-FR"/>
        </w:rPr>
        <w:t>évolutive</w:t>
      </w:r>
      <w:r w:rsidR="003E30D4" w:rsidRPr="00F015DD">
        <w:rPr>
          <w:rFonts w:asciiTheme="majorHAnsi" w:hAnsiTheme="majorHAnsi" w:cs="Verdana"/>
          <w:bCs/>
          <w:color w:val="171717"/>
          <w:sz w:val="22"/>
          <w:szCs w:val="22"/>
          <w:lang w:val="fr-FR"/>
        </w:rPr>
        <w:t xml:space="preserve"> des </w:t>
      </w:r>
      <w:r w:rsidR="008429B8" w:rsidRPr="00F015DD">
        <w:rPr>
          <w:rFonts w:asciiTheme="majorHAnsi" w:hAnsiTheme="majorHAnsi" w:cs="Verdana"/>
          <w:bCs/>
          <w:color w:val="171717"/>
          <w:sz w:val="22"/>
          <w:szCs w:val="22"/>
          <w:lang w:val="fr-FR"/>
        </w:rPr>
        <w:t>E</w:t>
      </w:r>
      <w:r w:rsidR="003E30D4" w:rsidRPr="00F015DD">
        <w:rPr>
          <w:rFonts w:asciiTheme="majorHAnsi" w:hAnsiTheme="majorHAnsi" w:cs="Verdana"/>
          <w:bCs/>
          <w:color w:val="171717"/>
          <w:sz w:val="22"/>
          <w:szCs w:val="22"/>
          <w:lang w:val="fr-FR"/>
        </w:rPr>
        <w:t>tats (</w:t>
      </w:r>
      <w:r w:rsidR="008429B8" w:rsidRPr="00F015DD">
        <w:rPr>
          <w:rFonts w:asciiTheme="majorHAnsi" w:hAnsiTheme="majorHAnsi"/>
          <w:sz w:val="22"/>
          <w:szCs w:val="22"/>
          <w:lang w:val="fr-FR"/>
        </w:rPr>
        <w:t>qui se reflète entre autres dans les lois nationales et les décisions des juridictions nationales</w:t>
      </w:r>
      <w:r w:rsidR="008429B8" w:rsidRPr="00F015DD">
        <w:rPr>
          <w:rFonts w:asciiTheme="majorHAnsi" w:hAnsiTheme="majorHAnsi" w:cs="Verdana"/>
          <w:bCs/>
          <w:color w:val="171717"/>
          <w:sz w:val="22"/>
          <w:szCs w:val="22"/>
          <w:lang w:val="fr-FR"/>
        </w:rPr>
        <w:t xml:space="preserve">) </w:t>
      </w:r>
      <w:r w:rsidR="003E30D4" w:rsidRPr="00F015DD">
        <w:rPr>
          <w:rFonts w:asciiTheme="majorHAnsi" w:hAnsiTheme="majorHAnsi" w:cs="Verdana"/>
          <w:bCs/>
          <w:color w:val="171717"/>
          <w:sz w:val="22"/>
          <w:szCs w:val="22"/>
          <w:lang w:val="fr-FR"/>
        </w:rPr>
        <w:t xml:space="preserve"> </w:t>
      </w:r>
      <w:r w:rsidR="008429B8" w:rsidRPr="00F015DD">
        <w:rPr>
          <w:rFonts w:asciiTheme="majorHAnsi" w:hAnsiTheme="majorHAnsi" w:cs="Verdana"/>
          <w:bCs/>
          <w:color w:val="171717"/>
          <w:sz w:val="22"/>
          <w:szCs w:val="22"/>
          <w:lang w:val="fr-FR"/>
        </w:rPr>
        <w:t>et les principes généraux de droit reconnus par la communauté des nations</w:t>
      </w:r>
      <w:r w:rsidR="00BE616B" w:rsidRPr="00F015DD">
        <w:rPr>
          <w:rFonts w:asciiTheme="majorHAnsi" w:hAnsiTheme="majorHAnsi" w:cs="Verdana"/>
          <w:color w:val="171717"/>
          <w:sz w:val="22"/>
          <w:szCs w:val="22"/>
          <w:lang w:val="fr-FR"/>
        </w:rPr>
        <w:t>.</w:t>
      </w:r>
    </w:p>
    <w:p w14:paraId="5BBE075E" w14:textId="77777777" w:rsidR="00BE616B" w:rsidRPr="00F015DD" w:rsidRDefault="00BE616B" w:rsidP="00BE616B">
      <w:pPr>
        <w:jc w:val="both"/>
        <w:rPr>
          <w:rFonts w:asciiTheme="majorHAnsi" w:hAnsiTheme="majorHAnsi" w:cs="Verdana"/>
          <w:color w:val="171717"/>
          <w:sz w:val="22"/>
          <w:szCs w:val="22"/>
          <w:lang w:val="fr-FR"/>
        </w:rPr>
      </w:pPr>
    </w:p>
    <w:p w14:paraId="242D881A" w14:textId="77777777" w:rsidR="00BE616B" w:rsidRPr="00F015DD" w:rsidRDefault="00C46469" w:rsidP="00D54EDE">
      <w:pPr>
        <w:jc w:val="both"/>
        <w:rPr>
          <w:rFonts w:asciiTheme="majorHAnsi" w:hAnsiTheme="majorHAnsi" w:cs="Verdana"/>
          <w:color w:val="171717"/>
          <w:sz w:val="22"/>
          <w:szCs w:val="22"/>
          <w:lang w:val="fr-FR"/>
        </w:rPr>
      </w:pPr>
      <w:r w:rsidRPr="00F015DD">
        <w:rPr>
          <w:rFonts w:asciiTheme="majorHAnsi" w:hAnsiTheme="majorHAnsi" w:cs="Verdana"/>
          <w:color w:val="171717"/>
          <w:sz w:val="22"/>
          <w:szCs w:val="22"/>
          <w:lang w:val="fr-FR"/>
        </w:rPr>
        <w:t>Ces p</w:t>
      </w:r>
      <w:r w:rsidR="008429B8" w:rsidRPr="00F015DD">
        <w:rPr>
          <w:rFonts w:asciiTheme="majorHAnsi" w:hAnsiTheme="majorHAnsi" w:cs="Verdana"/>
          <w:color w:val="171717"/>
          <w:sz w:val="22"/>
          <w:szCs w:val="22"/>
          <w:lang w:val="fr-FR"/>
        </w:rPr>
        <w:t xml:space="preserve">rincipes reconnaissent </w:t>
      </w:r>
      <w:r w:rsidR="00814DBA" w:rsidRPr="00F015DD">
        <w:rPr>
          <w:rFonts w:asciiTheme="majorHAnsi" w:hAnsiTheme="majorHAnsi" w:cs="Verdana"/>
          <w:color w:val="171717"/>
          <w:sz w:val="22"/>
          <w:szCs w:val="22"/>
          <w:lang w:val="fr-FR"/>
        </w:rPr>
        <w:t xml:space="preserve">l’applicabilité des Principes de Syracuse en matière de limitation et de dérogation au </w:t>
      </w:r>
      <w:r w:rsidR="00814DBA" w:rsidRPr="00F015DD">
        <w:rPr>
          <w:rFonts w:asciiTheme="majorHAnsi" w:hAnsiTheme="majorHAnsi" w:cs="Verdana"/>
          <w:bCs/>
          <w:color w:val="242424"/>
          <w:sz w:val="22"/>
          <w:szCs w:val="22"/>
          <w:lang w:val="fr-FR"/>
        </w:rPr>
        <w:t xml:space="preserve">Pacte international relatif aux droits civils et politiques (ICCPR) </w:t>
      </w:r>
      <w:r w:rsidR="00D54EDE" w:rsidRPr="00F015DD">
        <w:rPr>
          <w:rFonts w:asciiTheme="majorHAnsi" w:hAnsiTheme="majorHAnsi" w:cs="Verdana"/>
          <w:color w:val="171717"/>
          <w:sz w:val="22"/>
          <w:szCs w:val="22"/>
          <w:lang w:val="fr-FR"/>
        </w:rPr>
        <w:t>et les règles minima de Paris concernant les normes de droits de l</w:t>
      </w:r>
      <w:r w:rsidRPr="00F015DD">
        <w:rPr>
          <w:rFonts w:asciiTheme="majorHAnsi" w:hAnsiTheme="majorHAnsi" w:cs="Verdana"/>
          <w:color w:val="171717"/>
          <w:sz w:val="22"/>
          <w:szCs w:val="22"/>
          <w:lang w:val="fr-FR"/>
        </w:rPr>
        <w:t>’homme à appliquer en situation</w:t>
      </w:r>
      <w:r w:rsidR="00D54EDE" w:rsidRPr="00F015DD">
        <w:rPr>
          <w:rFonts w:asciiTheme="majorHAnsi" w:hAnsiTheme="majorHAnsi" w:cs="Verdana"/>
          <w:color w:val="171717"/>
          <w:sz w:val="22"/>
          <w:szCs w:val="22"/>
          <w:lang w:val="fr-FR"/>
        </w:rPr>
        <w:t xml:space="preserve"> d’</w:t>
      </w:r>
      <w:r w:rsidRPr="00F015DD">
        <w:rPr>
          <w:rFonts w:asciiTheme="majorHAnsi" w:hAnsiTheme="majorHAnsi" w:cs="Verdana"/>
          <w:color w:val="171717"/>
          <w:sz w:val="22"/>
          <w:szCs w:val="22"/>
          <w:lang w:val="fr-FR"/>
        </w:rPr>
        <w:t>Etat d’urgence</w:t>
      </w:r>
      <w:r w:rsidR="00BE616B" w:rsidRPr="00F015DD">
        <w:rPr>
          <w:rFonts w:asciiTheme="majorHAnsi" w:hAnsiTheme="majorHAnsi" w:cs="Verdana"/>
          <w:color w:val="171717"/>
          <w:sz w:val="22"/>
          <w:szCs w:val="22"/>
          <w:lang w:val="fr-FR"/>
        </w:rPr>
        <w:t>.</w:t>
      </w:r>
    </w:p>
    <w:p w14:paraId="01CB16F4" w14:textId="77777777" w:rsidR="00BE616B" w:rsidRPr="00F015DD" w:rsidRDefault="00BE616B" w:rsidP="00BE616B">
      <w:pPr>
        <w:jc w:val="both"/>
        <w:rPr>
          <w:rFonts w:asciiTheme="majorHAnsi" w:hAnsiTheme="majorHAnsi" w:cs="Verdana"/>
          <w:color w:val="171717"/>
          <w:lang w:val="fr-FR"/>
        </w:rPr>
      </w:pPr>
    </w:p>
    <w:p w14:paraId="673C4962" w14:textId="77777777" w:rsidR="00205AC7" w:rsidRPr="00F015DD" w:rsidRDefault="00D54EDE" w:rsidP="00CF72A2">
      <w:pPr>
        <w:jc w:val="both"/>
        <w:rPr>
          <w:rFonts w:asciiTheme="majorHAnsi" w:hAnsiTheme="majorHAnsi"/>
          <w:bCs/>
          <w:sz w:val="22"/>
          <w:szCs w:val="22"/>
          <w:lang w:val="fr-FR"/>
        </w:rPr>
      </w:pPr>
      <w:r w:rsidRPr="00F015DD">
        <w:rPr>
          <w:rFonts w:asciiTheme="majorHAnsi" w:hAnsiTheme="majorHAnsi" w:cs="Verdana"/>
          <w:color w:val="171717"/>
          <w:sz w:val="22"/>
          <w:szCs w:val="22"/>
          <w:lang w:val="fr-FR"/>
        </w:rPr>
        <w:t xml:space="preserve">Les </w:t>
      </w:r>
      <w:r w:rsidR="00C46469" w:rsidRPr="00F015DD">
        <w:rPr>
          <w:rFonts w:asciiTheme="majorHAnsi" w:hAnsiTheme="majorHAnsi" w:cs="Verdana"/>
          <w:color w:val="171717"/>
          <w:sz w:val="22"/>
          <w:szCs w:val="22"/>
          <w:lang w:val="fr-FR"/>
        </w:rPr>
        <w:t>p</w:t>
      </w:r>
      <w:r w:rsidRPr="00F015DD">
        <w:rPr>
          <w:rFonts w:asciiTheme="majorHAnsi" w:hAnsiTheme="majorHAnsi" w:cs="Verdana"/>
          <w:color w:val="171717"/>
          <w:sz w:val="22"/>
          <w:szCs w:val="22"/>
          <w:lang w:val="fr-FR"/>
        </w:rPr>
        <w:t>rincip</w:t>
      </w:r>
      <w:r w:rsidR="00BE616B" w:rsidRPr="00F015DD">
        <w:rPr>
          <w:rFonts w:asciiTheme="majorHAnsi" w:hAnsiTheme="majorHAnsi" w:cs="Verdana"/>
          <w:color w:val="171717"/>
          <w:sz w:val="22"/>
          <w:szCs w:val="22"/>
          <w:lang w:val="fr-FR"/>
        </w:rPr>
        <w:t>es</w:t>
      </w:r>
      <w:r w:rsidR="00CF478C" w:rsidRPr="00F015DD">
        <w:rPr>
          <w:rFonts w:asciiTheme="majorHAnsi" w:hAnsiTheme="majorHAnsi" w:cs="Verdana"/>
          <w:color w:val="171717"/>
          <w:sz w:val="22"/>
          <w:szCs w:val="22"/>
          <w:lang w:val="fr-FR"/>
        </w:rPr>
        <w:t xml:space="preserve"> </w:t>
      </w:r>
      <w:r w:rsidRPr="00F015DD">
        <w:rPr>
          <w:rFonts w:asciiTheme="majorHAnsi" w:hAnsiTheme="majorHAnsi" w:cs="Verdana"/>
          <w:color w:val="171717"/>
          <w:sz w:val="22"/>
          <w:szCs w:val="22"/>
          <w:lang w:val="fr-FR"/>
        </w:rPr>
        <w:t xml:space="preserve">stipulent qu’une restriction n’est légitime que lorsque son </w:t>
      </w:r>
      <w:r w:rsidR="00CF72A2" w:rsidRPr="00F015DD">
        <w:rPr>
          <w:rFonts w:asciiTheme="majorHAnsi" w:hAnsiTheme="majorHAnsi" w:cs="Verdana"/>
          <w:color w:val="171717"/>
          <w:sz w:val="22"/>
          <w:szCs w:val="22"/>
          <w:lang w:val="fr-FR"/>
        </w:rPr>
        <w:t xml:space="preserve">but et son effet consistent à : </w:t>
      </w:r>
    </w:p>
    <w:p w14:paraId="0ED81E08" w14:textId="77777777" w:rsidR="00205AC7" w:rsidRPr="00F015DD" w:rsidRDefault="00205AC7" w:rsidP="00BE616B">
      <w:pPr>
        <w:jc w:val="both"/>
        <w:rPr>
          <w:rFonts w:asciiTheme="majorHAnsi" w:hAnsiTheme="majorHAnsi"/>
          <w:bCs/>
          <w:sz w:val="22"/>
          <w:szCs w:val="22"/>
          <w:lang w:val="fr-FR"/>
        </w:rPr>
      </w:pPr>
    </w:p>
    <w:p w14:paraId="1404D2D4" w14:textId="77777777" w:rsidR="00205AC7" w:rsidRPr="00F015DD" w:rsidRDefault="00205AC7" w:rsidP="004B3AF0">
      <w:pPr>
        <w:ind w:left="720"/>
        <w:jc w:val="both"/>
        <w:rPr>
          <w:rFonts w:asciiTheme="majorHAnsi" w:hAnsiTheme="majorHAnsi"/>
          <w:bCs/>
          <w:sz w:val="22"/>
          <w:szCs w:val="22"/>
          <w:lang w:val="fr-FR"/>
        </w:rPr>
      </w:pPr>
      <w:r w:rsidRPr="00F015DD">
        <w:rPr>
          <w:rFonts w:asciiTheme="majorHAnsi" w:hAnsiTheme="majorHAnsi"/>
          <w:bCs/>
          <w:sz w:val="22"/>
          <w:szCs w:val="22"/>
          <w:lang w:val="fr-FR"/>
        </w:rPr>
        <w:t>"</w:t>
      </w:r>
      <w:r w:rsidR="004B3AF0" w:rsidRPr="00F015DD">
        <w:rPr>
          <w:lang w:val="fr-FR"/>
        </w:rPr>
        <w:t xml:space="preserve"> </w:t>
      </w:r>
      <w:proofErr w:type="gramStart"/>
      <w:r w:rsidR="004B3AF0" w:rsidRPr="00F015DD">
        <w:rPr>
          <w:rFonts w:asciiTheme="majorHAnsi" w:hAnsiTheme="majorHAnsi"/>
          <w:i/>
          <w:iCs/>
          <w:sz w:val="22"/>
          <w:szCs w:val="22"/>
          <w:lang w:val="fr-FR"/>
        </w:rPr>
        <w:t>protéger</w:t>
      </w:r>
      <w:proofErr w:type="gramEnd"/>
      <w:r w:rsidR="004B3AF0" w:rsidRPr="00F015DD">
        <w:rPr>
          <w:rFonts w:asciiTheme="majorHAnsi" w:hAnsiTheme="majorHAnsi"/>
          <w:i/>
          <w:iCs/>
          <w:sz w:val="22"/>
          <w:szCs w:val="22"/>
          <w:lang w:val="fr-FR"/>
        </w:rPr>
        <w:t xml:space="preserve"> l'existence d'un pays ou son intégrité territoriale contre l'usage ou la menace d'usage de la force que cela vienne de l'extérieur, comme par exemple une menace militaire, ou de l'intérieur, telle l'incitation au renversement d'un </w:t>
      </w:r>
      <w:proofErr w:type="spellStart"/>
      <w:r w:rsidR="004B3AF0" w:rsidRPr="00F015DD">
        <w:rPr>
          <w:rFonts w:asciiTheme="majorHAnsi" w:hAnsiTheme="majorHAnsi"/>
          <w:i/>
          <w:iCs/>
          <w:sz w:val="22"/>
          <w:szCs w:val="22"/>
          <w:lang w:val="fr-FR"/>
        </w:rPr>
        <w:t>gouvernment</w:t>
      </w:r>
      <w:proofErr w:type="spellEnd"/>
      <w:r w:rsidRPr="00F015DD">
        <w:rPr>
          <w:rFonts w:asciiTheme="majorHAnsi" w:hAnsiTheme="majorHAnsi"/>
          <w:bCs/>
          <w:i/>
          <w:sz w:val="22"/>
          <w:szCs w:val="22"/>
          <w:lang w:val="fr-FR"/>
        </w:rPr>
        <w:t>."</w:t>
      </w:r>
      <w:r w:rsidRPr="00F015DD">
        <w:rPr>
          <w:rStyle w:val="FootnoteReference"/>
          <w:rFonts w:asciiTheme="majorHAnsi" w:hAnsiTheme="majorHAnsi"/>
          <w:bCs/>
          <w:i/>
          <w:sz w:val="22"/>
          <w:szCs w:val="22"/>
          <w:lang w:val="fr-FR"/>
        </w:rPr>
        <w:footnoteReference w:id="27"/>
      </w:r>
    </w:p>
    <w:p w14:paraId="1818D227" w14:textId="77777777" w:rsidR="00BE616B" w:rsidRPr="00F015DD" w:rsidRDefault="00BE616B" w:rsidP="00BE616B">
      <w:pPr>
        <w:widowControl w:val="0"/>
        <w:autoSpaceDE w:val="0"/>
        <w:autoSpaceDN w:val="0"/>
        <w:adjustRightInd w:val="0"/>
        <w:jc w:val="both"/>
        <w:rPr>
          <w:rFonts w:asciiTheme="majorHAnsi" w:hAnsiTheme="majorHAnsi" w:cs="Verdana"/>
          <w:color w:val="171717"/>
          <w:sz w:val="22"/>
          <w:szCs w:val="22"/>
          <w:lang w:val="fr-FR"/>
        </w:rPr>
      </w:pPr>
    </w:p>
    <w:p w14:paraId="0B42F26B" w14:textId="77777777" w:rsidR="004B3AF0" w:rsidRPr="00F015DD" w:rsidRDefault="004B3AF0" w:rsidP="004B3AF0">
      <w:pPr>
        <w:widowControl w:val="0"/>
        <w:autoSpaceDE w:val="0"/>
        <w:autoSpaceDN w:val="0"/>
        <w:adjustRightInd w:val="0"/>
        <w:jc w:val="both"/>
        <w:rPr>
          <w:rFonts w:asciiTheme="majorHAnsi" w:hAnsiTheme="majorHAnsi" w:cs="Verdana"/>
          <w:color w:val="171717"/>
          <w:sz w:val="22"/>
          <w:szCs w:val="22"/>
          <w:lang w:val="fr-FR"/>
        </w:rPr>
      </w:pPr>
      <w:r w:rsidRPr="00F015DD">
        <w:rPr>
          <w:rFonts w:asciiTheme="majorHAnsi" w:hAnsiTheme="majorHAnsi" w:cs="Verdana"/>
          <w:color w:val="171717"/>
          <w:sz w:val="22"/>
          <w:szCs w:val="22"/>
          <w:lang w:val="fr-FR"/>
        </w:rPr>
        <w:t>Le test clé pour les restrictions imposées à la liberté d’expression au nom de la sécurité nationale est présenté dans le Principe 6 qui, sous réserve d’autres principes, interdit l</w:t>
      </w:r>
      <w:r w:rsidR="00C46469" w:rsidRPr="00F015DD">
        <w:rPr>
          <w:rFonts w:asciiTheme="majorHAnsi" w:hAnsiTheme="majorHAnsi" w:cs="Verdana"/>
          <w:color w:val="171717"/>
          <w:sz w:val="22"/>
          <w:szCs w:val="22"/>
          <w:lang w:val="fr-FR"/>
        </w:rPr>
        <w:t xml:space="preserve">es restrictions à l’expression </w:t>
      </w:r>
      <w:r w:rsidRPr="00F015DD">
        <w:rPr>
          <w:rFonts w:asciiTheme="majorHAnsi" w:hAnsiTheme="majorHAnsi" w:cs="Verdana"/>
          <w:color w:val="171717"/>
          <w:sz w:val="22"/>
          <w:szCs w:val="22"/>
          <w:lang w:val="fr-FR"/>
        </w:rPr>
        <w:t>à moins de prouver que :</w:t>
      </w:r>
    </w:p>
    <w:p w14:paraId="225ABAF4" w14:textId="77777777" w:rsidR="00CF478C" w:rsidRPr="00F015DD" w:rsidRDefault="004B3AF0" w:rsidP="00BE616B">
      <w:pPr>
        <w:pStyle w:val="ListParagraph"/>
        <w:widowControl w:val="0"/>
        <w:numPr>
          <w:ilvl w:val="0"/>
          <w:numId w:val="2"/>
        </w:numPr>
        <w:autoSpaceDE w:val="0"/>
        <w:autoSpaceDN w:val="0"/>
        <w:adjustRightInd w:val="0"/>
        <w:ind w:left="0" w:firstLine="0"/>
        <w:jc w:val="both"/>
        <w:rPr>
          <w:rFonts w:asciiTheme="majorHAnsi" w:hAnsiTheme="majorHAnsi" w:cs="Verdana"/>
          <w:b/>
          <w:color w:val="171717"/>
          <w:sz w:val="22"/>
          <w:szCs w:val="22"/>
          <w:lang w:val="fr-FR"/>
        </w:rPr>
      </w:pPr>
      <w:r w:rsidRPr="00F015DD">
        <w:rPr>
          <w:rFonts w:asciiTheme="majorHAnsi" w:hAnsiTheme="majorHAnsi"/>
          <w:sz w:val="22"/>
          <w:szCs w:val="22"/>
          <w:lang w:val="fr-FR"/>
        </w:rPr>
        <w:t>l'expression est destinée à provoquer la violence de manière imminente</w:t>
      </w:r>
      <w:r w:rsidR="00CF478C" w:rsidRPr="00F015DD">
        <w:rPr>
          <w:rFonts w:asciiTheme="majorHAnsi" w:hAnsiTheme="majorHAnsi" w:cs="Verdana"/>
          <w:b/>
          <w:color w:val="171717"/>
          <w:sz w:val="22"/>
          <w:szCs w:val="22"/>
          <w:lang w:val="fr-FR"/>
        </w:rPr>
        <w:t>;</w:t>
      </w:r>
    </w:p>
    <w:p w14:paraId="0DC2F271" w14:textId="77777777" w:rsidR="00CF478C" w:rsidRPr="00F015DD" w:rsidRDefault="004B3AF0" w:rsidP="004B3AF0">
      <w:pPr>
        <w:pStyle w:val="ListParagraph"/>
        <w:widowControl w:val="0"/>
        <w:numPr>
          <w:ilvl w:val="0"/>
          <w:numId w:val="2"/>
        </w:numPr>
        <w:autoSpaceDE w:val="0"/>
        <w:autoSpaceDN w:val="0"/>
        <w:adjustRightInd w:val="0"/>
        <w:ind w:left="0" w:firstLine="0"/>
        <w:jc w:val="both"/>
        <w:rPr>
          <w:rFonts w:asciiTheme="majorHAnsi" w:hAnsiTheme="majorHAnsi" w:cs="Verdana"/>
          <w:b/>
          <w:color w:val="171717"/>
          <w:sz w:val="22"/>
          <w:szCs w:val="22"/>
          <w:lang w:val="fr-FR"/>
        </w:rPr>
      </w:pPr>
      <w:r w:rsidRPr="00F015DD">
        <w:rPr>
          <w:rFonts w:asciiTheme="majorHAnsi" w:hAnsiTheme="majorHAnsi"/>
          <w:sz w:val="22"/>
          <w:szCs w:val="22"/>
          <w:lang w:val="fr-FR"/>
        </w:rPr>
        <w:t>qu'elle est susceptible de provoquer une telle violence</w:t>
      </w:r>
      <w:r w:rsidR="00CF478C" w:rsidRPr="00F015DD">
        <w:rPr>
          <w:rFonts w:asciiTheme="majorHAnsi" w:hAnsiTheme="majorHAnsi" w:cs="Verdana"/>
          <w:b/>
          <w:color w:val="171717"/>
          <w:sz w:val="22"/>
          <w:szCs w:val="22"/>
          <w:lang w:val="fr-FR"/>
        </w:rPr>
        <w:t xml:space="preserve">; </w:t>
      </w:r>
      <w:r w:rsidRPr="00F015DD">
        <w:rPr>
          <w:rFonts w:asciiTheme="majorHAnsi" w:hAnsiTheme="majorHAnsi" w:cs="Verdana"/>
          <w:b/>
          <w:color w:val="171717"/>
          <w:sz w:val="22"/>
          <w:szCs w:val="22"/>
          <w:lang w:val="fr-FR"/>
        </w:rPr>
        <w:t>et</w:t>
      </w:r>
    </w:p>
    <w:p w14:paraId="0ADB9DB0" w14:textId="77777777" w:rsidR="00CF478C" w:rsidRPr="00F015DD" w:rsidRDefault="004B3AF0" w:rsidP="004B3AF0">
      <w:pPr>
        <w:pStyle w:val="ListParagraph"/>
        <w:widowControl w:val="0"/>
        <w:numPr>
          <w:ilvl w:val="0"/>
          <w:numId w:val="2"/>
        </w:numPr>
        <w:autoSpaceDE w:val="0"/>
        <w:autoSpaceDN w:val="0"/>
        <w:adjustRightInd w:val="0"/>
        <w:ind w:left="0" w:firstLine="0"/>
        <w:jc w:val="both"/>
        <w:rPr>
          <w:rFonts w:asciiTheme="majorHAnsi" w:hAnsiTheme="majorHAnsi" w:cs="Verdana"/>
          <w:b/>
          <w:color w:val="171717"/>
          <w:sz w:val="22"/>
          <w:szCs w:val="22"/>
          <w:lang w:val="fr-FR"/>
        </w:rPr>
      </w:pPr>
      <w:r w:rsidRPr="00F015DD">
        <w:rPr>
          <w:rFonts w:asciiTheme="majorHAnsi" w:hAnsiTheme="majorHAnsi"/>
          <w:sz w:val="22"/>
          <w:szCs w:val="22"/>
          <w:lang w:val="fr-FR"/>
        </w:rPr>
        <w:t xml:space="preserve">qu'il existe un lien immédiat et direct entre l'expression et des actes de violence ou de </w:t>
      </w:r>
      <w:r w:rsidRPr="00F015DD">
        <w:rPr>
          <w:rFonts w:asciiTheme="majorHAnsi" w:hAnsiTheme="majorHAnsi"/>
          <w:sz w:val="22"/>
          <w:szCs w:val="22"/>
          <w:lang w:val="fr-FR"/>
        </w:rPr>
        <w:lastRenderedPageBreak/>
        <w:t>potentiels actes de violence.</w:t>
      </w:r>
    </w:p>
    <w:p w14:paraId="263D2B1A" w14:textId="77777777" w:rsidR="00205AC7" w:rsidRPr="00F015DD" w:rsidRDefault="00205AC7" w:rsidP="00BE616B">
      <w:pPr>
        <w:jc w:val="both"/>
        <w:rPr>
          <w:rFonts w:asciiTheme="majorHAnsi" w:hAnsiTheme="majorHAnsi"/>
          <w:sz w:val="22"/>
          <w:szCs w:val="22"/>
          <w:lang w:val="fr-FR"/>
        </w:rPr>
      </w:pPr>
    </w:p>
    <w:p w14:paraId="13AB46D6" w14:textId="77777777" w:rsidR="00B20722" w:rsidRPr="00F015DD" w:rsidRDefault="00EE0619" w:rsidP="00EE0619">
      <w:pPr>
        <w:jc w:val="both"/>
        <w:rPr>
          <w:rFonts w:asciiTheme="majorHAnsi" w:hAnsiTheme="majorHAnsi"/>
          <w:i/>
          <w:sz w:val="22"/>
          <w:szCs w:val="22"/>
          <w:lang w:val="fr-FR"/>
        </w:rPr>
      </w:pPr>
      <w:r w:rsidRPr="00F015DD">
        <w:rPr>
          <w:rFonts w:asciiTheme="majorHAnsi" w:hAnsiTheme="majorHAnsi" w:cs="Verdana"/>
          <w:color w:val="171717"/>
          <w:sz w:val="22"/>
          <w:szCs w:val="22"/>
          <w:lang w:val="fr-FR"/>
        </w:rPr>
        <w:t>Les principes</w:t>
      </w:r>
      <w:r w:rsidR="00B20722" w:rsidRPr="00F015DD">
        <w:rPr>
          <w:rFonts w:asciiTheme="majorHAnsi" w:hAnsiTheme="majorHAnsi" w:cs="Verdana"/>
          <w:color w:val="171717"/>
          <w:sz w:val="22"/>
          <w:szCs w:val="22"/>
          <w:lang w:val="fr-FR"/>
        </w:rPr>
        <w:t xml:space="preserve"> 7-9 </w:t>
      </w:r>
      <w:r w:rsidRPr="00F015DD">
        <w:rPr>
          <w:rFonts w:asciiTheme="majorHAnsi" w:hAnsiTheme="majorHAnsi" w:cs="Verdana"/>
          <w:color w:val="171717"/>
          <w:sz w:val="22"/>
          <w:szCs w:val="22"/>
          <w:lang w:val="fr-FR"/>
        </w:rPr>
        <w:t>donnent un nombre d’exemples spécifiques d’expressions qui ne peuvent être considérées comme constituant une menace à la sécurité nationale</w:t>
      </w:r>
      <w:r w:rsidR="00B20722" w:rsidRPr="00F015DD">
        <w:rPr>
          <w:rFonts w:asciiTheme="majorHAnsi" w:hAnsiTheme="majorHAnsi" w:cs="Verdana"/>
          <w:color w:val="171717"/>
          <w:sz w:val="22"/>
          <w:szCs w:val="22"/>
          <w:lang w:val="fr-FR"/>
        </w:rPr>
        <w:t xml:space="preserve">, </w:t>
      </w:r>
      <w:r w:rsidRPr="00F015DD">
        <w:rPr>
          <w:rFonts w:asciiTheme="majorHAnsi" w:hAnsiTheme="majorHAnsi" w:cs="Verdana"/>
          <w:color w:val="171717"/>
          <w:sz w:val="22"/>
          <w:szCs w:val="22"/>
          <w:lang w:val="fr-FR"/>
        </w:rPr>
        <w:t xml:space="preserve">comme lorsqu’il s’agit </w:t>
      </w:r>
      <w:r w:rsidR="00B20722" w:rsidRPr="00F015DD">
        <w:rPr>
          <w:rFonts w:asciiTheme="majorHAnsi" w:hAnsiTheme="majorHAnsi" w:cs="Verdana"/>
          <w:color w:val="171717"/>
          <w:sz w:val="22"/>
          <w:szCs w:val="22"/>
          <w:lang w:val="fr-FR"/>
        </w:rPr>
        <w:t xml:space="preserve"> </w:t>
      </w:r>
      <w:r w:rsidR="00B20722" w:rsidRPr="00F015DD">
        <w:rPr>
          <w:rFonts w:asciiTheme="majorHAnsi" w:hAnsiTheme="majorHAnsi" w:cs="Verdana"/>
          <w:i/>
          <w:color w:val="171717"/>
          <w:sz w:val="22"/>
          <w:szCs w:val="22"/>
          <w:lang w:val="fr-FR"/>
        </w:rPr>
        <w:t>“</w:t>
      </w:r>
      <w:r w:rsidRPr="00F015DD">
        <w:rPr>
          <w:rFonts w:asciiTheme="majorHAnsi" w:hAnsiTheme="majorHAnsi"/>
          <w:sz w:val="22"/>
          <w:szCs w:val="22"/>
          <w:lang w:val="fr-FR"/>
        </w:rPr>
        <w:t xml:space="preserve">de protéger un </w:t>
      </w:r>
      <w:proofErr w:type="spellStart"/>
      <w:r w:rsidRPr="00F015DD">
        <w:rPr>
          <w:rFonts w:asciiTheme="majorHAnsi" w:hAnsiTheme="majorHAnsi"/>
          <w:sz w:val="22"/>
          <w:szCs w:val="22"/>
          <w:lang w:val="fr-FR"/>
        </w:rPr>
        <w:t>gouvernment</w:t>
      </w:r>
      <w:proofErr w:type="spellEnd"/>
      <w:r w:rsidRPr="00F015DD">
        <w:rPr>
          <w:rFonts w:asciiTheme="majorHAnsi" w:hAnsiTheme="majorHAnsi"/>
          <w:sz w:val="22"/>
          <w:szCs w:val="22"/>
          <w:lang w:val="fr-FR"/>
        </w:rPr>
        <w:t xml:space="preserve"> de l'embarras ou de la découverte de ses fautes, ou pour dissimuler des informations sur le fonctionnement des institutions publiques, ou pour imposer une certaine idéologie, ou pour réprimer des troubles sociaux</w:t>
      </w:r>
      <w:r w:rsidR="00B20722" w:rsidRPr="00F015DD">
        <w:rPr>
          <w:rFonts w:asciiTheme="majorHAnsi" w:hAnsiTheme="majorHAnsi"/>
          <w:i/>
          <w:sz w:val="22"/>
          <w:szCs w:val="22"/>
          <w:lang w:val="fr-FR"/>
        </w:rPr>
        <w:t>."</w:t>
      </w:r>
      <w:r w:rsidR="00B20722" w:rsidRPr="00F015DD">
        <w:rPr>
          <w:rStyle w:val="FootnoteReference"/>
          <w:rFonts w:asciiTheme="majorHAnsi" w:hAnsiTheme="majorHAnsi"/>
          <w:i/>
          <w:sz w:val="22"/>
          <w:szCs w:val="22"/>
          <w:lang w:val="fr-FR"/>
        </w:rPr>
        <w:footnoteReference w:id="28"/>
      </w:r>
    </w:p>
    <w:p w14:paraId="2CC930AC" w14:textId="77777777" w:rsidR="00B20722" w:rsidRPr="00F015DD" w:rsidRDefault="00B20722" w:rsidP="00BE616B">
      <w:pPr>
        <w:jc w:val="both"/>
        <w:rPr>
          <w:rFonts w:asciiTheme="majorHAnsi" w:hAnsiTheme="majorHAnsi" w:cs="Verdana"/>
          <w:color w:val="171717"/>
          <w:sz w:val="22"/>
          <w:szCs w:val="22"/>
          <w:lang w:val="fr-FR"/>
        </w:rPr>
      </w:pPr>
    </w:p>
    <w:p w14:paraId="3D5D016A" w14:textId="77777777" w:rsidR="0034695E" w:rsidRPr="00F015DD" w:rsidRDefault="00EE0619" w:rsidP="000D187E">
      <w:pPr>
        <w:widowControl w:val="0"/>
        <w:tabs>
          <w:tab w:val="left" w:pos="220"/>
          <w:tab w:val="left" w:pos="720"/>
        </w:tabs>
        <w:autoSpaceDE w:val="0"/>
        <w:autoSpaceDN w:val="0"/>
        <w:adjustRightInd w:val="0"/>
        <w:jc w:val="both"/>
        <w:rPr>
          <w:rFonts w:asciiTheme="majorHAnsi" w:hAnsiTheme="majorHAnsi" w:cs="Times New Roman"/>
          <w:sz w:val="22"/>
          <w:szCs w:val="22"/>
          <w:lang w:val="fr-FR"/>
        </w:rPr>
      </w:pPr>
      <w:r w:rsidRPr="00F015DD">
        <w:rPr>
          <w:rFonts w:asciiTheme="majorHAnsi" w:hAnsiTheme="majorHAnsi" w:cs="Times New Roman"/>
          <w:sz w:val="22"/>
          <w:szCs w:val="22"/>
          <w:lang w:val="fr-FR"/>
        </w:rPr>
        <w:t>Le Princip</w:t>
      </w:r>
      <w:r w:rsidR="00CA52FD" w:rsidRPr="00F015DD">
        <w:rPr>
          <w:rFonts w:asciiTheme="majorHAnsi" w:hAnsiTheme="majorHAnsi" w:cs="Times New Roman"/>
          <w:sz w:val="22"/>
          <w:szCs w:val="22"/>
          <w:lang w:val="fr-FR"/>
        </w:rPr>
        <w:t xml:space="preserve">e 15(1) </w:t>
      </w:r>
      <w:r w:rsidRPr="00F015DD">
        <w:rPr>
          <w:rFonts w:asciiTheme="majorHAnsi" w:hAnsiTheme="majorHAnsi" w:cs="Times New Roman"/>
          <w:sz w:val="22"/>
          <w:szCs w:val="22"/>
          <w:lang w:val="fr-FR"/>
        </w:rPr>
        <w:t>stipule</w:t>
      </w:r>
      <w:r w:rsidR="00CA52FD" w:rsidRPr="00F015DD">
        <w:rPr>
          <w:rFonts w:asciiTheme="majorHAnsi" w:hAnsiTheme="majorHAnsi" w:cs="Times New Roman"/>
          <w:sz w:val="22"/>
          <w:szCs w:val="22"/>
          <w:lang w:val="fr-FR"/>
        </w:rPr>
        <w:t xml:space="preserve"> “</w:t>
      </w:r>
      <w:r w:rsidR="000D187E" w:rsidRPr="00F015DD">
        <w:rPr>
          <w:rFonts w:asciiTheme="majorHAnsi" w:hAnsiTheme="majorHAnsi"/>
          <w:sz w:val="22"/>
          <w:szCs w:val="22"/>
          <w:lang w:val="fr-FR"/>
        </w:rPr>
        <w:t>Nul ne peut être condamné pour des raisons de sécurité nationale pour la divulgation d’information si (1) la divulgation ne porte pas atteinte ou n’est pas susceptible de porter atteinte à un intérêt de sécurité nation</w:t>
      </w:r>
      <w:r w:rsidR="000D187E" w:rsidRPr="00F015DD">
        <w:rPr>
          <w:sz w:val="22"/>
          <w:szCs w:val="22"/>
          <w:lang w:val="fr-FR"/>
        </w:rPr>
        <w:t>ale</w:t>
      </w:r>
      <w:r w:rsidR="00CA52FD" w:rsidRPr="00F015DD">
        <w:rPr>
          <w:rFonts w:asciiTheme="majorHAnsi" w:hAnsiTheme="majorHAnsi" w:cs="Times New Roman"/>
          <w:sz w:val="22"/>
          <w:szCs w:val="22"/>
          <w:lang w:val="fr-FR"/>
        </w:rPr>
        <w:t>”.  </w:t>
      </w:r>
    </w:p>
    <w:p w14:paraId="340C0B90" w14:textId="77777777" w:rsidR="0034695E" w:rsidRPr="00F015DD" w:rsidRDefault="0034695E" w:rsidP="0034695E">
      <w:pPr>
        <w:widowControl w:val="0"/>
        <w:tabs>
          <w:tab w:val="left" w:pos="220"/>
          <w:tab w:val="left" w:pos="720"/>
        </w:tabs>
        <w:autoSpaceDE w:val="0"/>
        <w:autoSpaceDN w:val="0"/>
        <w:adjustRightInd w:val="0"/>
        <w:jc w:val="both"/>
        <w:rPr>
          <w:rFonts w:asciiTheme="majorHAnsi" w:hAnsiTheme="majorHAnsi" w:cs="Times New Roman"/>
          <w:sz w:val="22"/>
          <w:szCs w:val="22"/>
          <w:lang w:val="fr-FR"/>
        </w:rPr>
      </w:pPr>
    </w:p>
    <w:tbl>
      <w:tblPr>
        <w:tblStyle w:val="TableGrid"/>
        <w:tblW w:w="0" w:type="auto"/>
        <w:tblLook w:val="04A0" w:firstRow="1" w:lastRow="0" w:firstColumn="1" w:lastColumn="0" w:noHBand="0" w:noVBand="1"/>
      </w:tblPr>
      <w:tblGrid>
        <w:gridCol w:w="8856"/>
      </w:tblGrid>
      <w:tr w:rsidR="0034695E" w:rsidRPr="00F015DD" w14:paraId="4CC0764C" w14:textId="77777777" w:rsidTr="006D6209">
        <w:tc>
          <w:tcPr>
            <w:tcW w:w="8856" w:type="dxa"/>
            <w:shd w:val="clear" w:color="auto" w:fill="BFBFBF" w:themeFill="background1" w:themeFillShade="BF"/>
          </w:tcPr>
          <w:p w14:paraId="4D2454CD" w14:textId="77777777" w:rsidR="0034695E" w:rsidRPr="00F015DD" w:rsidRDefault="0034695E" w:rsidP="000D187E">
            <w:pPr>
              <w:widowControl w:val="0"/>
              <w:shd w:val="clear" w:color="auto" w:fill="BFBFBF" w:themeFill="background1" w:themeFillShade="BF"/>
              <w:tabs>
                <w:tab w:val="left" w:pos="220"/>
                <w:tab w:val="left" w:pos="720"/>
              </w:tabs>
              <w:autoSpaceDE w:val="0"/>
              <w:autoSpaceDN w:val="0"/>
              <w:adjustRightInd w:val="0"/>
              <w:spacing w:after="293"/>
              <w:jc w:val="center"/>
              <w:rPr>
                <w:rFonts w:asciiTheme="majorHAnsi" w:hAnsiTheme="majorHAnsi"/>
                <w:b/>
                <w:lang w:val="fr-FR"/>
              </w:rPr>
            </w:pPr>
            <w:r w:rsidRPr="00F015DD">
              <w:rPr>
                <w:rFonts w:asciiTheme="majorHAnsi" w:hAnsiTheme="majorHAnsi"/>
                <w:b/>
                <w:lang w:val="fr-FR"/>
              </w:rPr>
              <w:t>Terrorism</w:t>
            </w:r>
            <w:r w:rsidR="000D187E" w:rsidRPr="00F015DD">
              <w:rPr>
                <w:rFonts w:asciiTheme="majorHAnsi" w:hAnsiTheme="majorHAnsi"/>
                <w:b/>
                <w:lang w:val="fr-FR"/>
              </w:rPr>
              <w:t>e</w:t>
            </w:r>
            <w:r w:rsidRPr="00F015DD">
              <w:rPr>
                <w:rFonts w:asciiTheme="majorHAnsi" w:hAnsiTheme="majorHAnsi"/>
                <w:b/>
                <w:lang w:val="fr-FR"/>
              </w:rPr>
              <w:t xml:space="preserve"> </w:t>
            </w:r>
            <w:r w:rsidR="000D187E" w:rsidRPr="00F015DD">
              <w:rPr>
                <w:rFonts w:asciiTheme="majorHAnsi" w:hAnsiTheme="majorHAnsi"/>
                <w:b/>
                <w:lang w:val="fr-FR"/>
              </w:rPr>
              <w:t>et lutte contre le terrorisme</w:t>
            </w:r>
          </w:p>
          <w:p w14:paraId="05D60CE0" w14:textId="77777777" w:rsidR="000D187E" w:rsidRPr="00F015DD" w:rsidRDefault="000D187E" w:rsidP="000D187E">
            <w:pPr>
              <w:shd w:val="clear" w:color="auto" w:fill="BFBFBF" w:themeFill="background1" w:themeFillShade="BF"/>
              <w:jc w:val="both"/>
              <w:rPr>
                <w:rFonts w:asciiTheme="majorHAnsi" w:hAnsiTheme="majorHAnsi"/>
                <w:sz w:val="22"/>
                <w:szCs w:val="22"/>
                <w:lang w:val="fr-FR"/>
              </w:rPr>
            </w:pPr>
            <w:r w:rsidRPr="00F015DD">
              <w:rPr>
                <w:rFonts w:asciiTheme="majorHAnsi" w:hAnsiTheme="majorHAnsi" w:cs="Verdana"/>
                <w:sz w:val="22"/>
                <w:szCs w:val="22"/>
                <w:lang w:val="fr-FR"/>
              </w:rPr>
              <w:t>En</w:t>
            </w:r>
            <w:r w:rsidR="0034695E" w:rsidRPr="00F015DD">
              <w:rPr>
                <w:rFonts w:asciiTheme="majorHAnsi" w:hAnsiTheme="majorHAnsi" w:cs="Verdana"/>
                <w:sz w:val="22"/>
                <w:szCs w:val="22"/>
                <w:lang w:val="fr-FR"/>
              </w:rPr>
              <w:t xml:space="preserve"> 2005, </w:t>
            </w:r>
            <w:r w:rsidRPr="00F015DD">
              <w:rPr>
                <w:rFonts w:asciiTheme="majorHAnsi" w:hAnsiTheme="majorHAnsi" w:cs="Verdana"/>
                <w:sz w:val="22"/>
                <w:szCs w:val="22"/>
                <w:lang w:val="fr-FR"/>
              </w:rPr>
              <w:t xml:space="preserve">Le Conseil de </w:t>
            </w:r>
            <w:r w:rsidR="00C46469" w:rsidRPr="00F015DD">
              <w:rPr>
                <w:rFonts w:asciiTheme="majorHAnsi" w:hAnsiTheme="majorHAnsi" w:cs="Verdana"/>
                <w:sz w:val="22"/>
                <w:szCs w:val="22"/>
                <w:lang w:val="fr-FR"/>
              </w:rPr>
              <w:t>s</w:t>
            </w:r>
            <w:r w:rsidRPr="00F015DD">
              <w:rPr>
                <w:rFonts w:asciiTheme="majorHAnsi" w:hAnsiTheme="majorHAnsi" w:cs="Verdana"/>
                <w:sz w:val="22"/>
                <w:szCs w:val="22"/>
                <w:lang w:val="fr-FR"/>
              </w:rPr>
              <w:t xml:space="preserve">écurité a adopté la résolution 1624 qui </w:t>
            </w:r>
            <w:r w:rsidRPr="00F015DD">
              <w:rPr>
                <w:rFonts w:asciiTheme="majorHAnsi" w:hAnsiTheme="majorHAnsi"/>
                <w:sz w:val="22"/>
                <w:szCs w:val="22"/>
                <w:lang w:val="fr-FR"/>
              </w:rPr>
              <w:t>appelle tous les États à adopter des mesures qui peuvent être nécessaires et appropriées et sont conformes aux obligations qui leur incombent en vertu du droit international, pour :</w:t>
            </w:r>
          </w:p>
          <w:p w14:paraId="7FB89D07" w14:textId="77777777" w:rsidR="000D187E" w:rsidRPr="00F015DD" w:rsidRDefault="000D187E" w:rsidP="000D187E">
            <w:pPr>
              <w:shd w:val="clear" w:color="auto" w:fill="BFBFBF" w:themeFill="background1" w:themeFillShade="BF"/>
              <w:jc w:val="both"/>
              <w:rPr>
                <w:rFonts w:asciiTheme="majorHAnsi" w:hAnsiTheme="majorHAnsi"/>
                <w:sz w:val="22"/>
                <w:szCs w:val="22"/>
                <w:lang w:val="fr-FR"/>
              </w:rPr>
            </w:pPr>
          </w:p>
          <w:p w14:paraId="686D0376" w14:textId="35EC4668" w:rsidR="000D187E" w:rsidRPr="00F015DD" w:rsidRDefault="000D187E" w:rsidP="000D187E">
            <w:pPr>
              <w:shd w:val="clear" w:color="auto" w:fill="BFBFBF" w:themeFill="background1" w:themeFillShade="BF"/>
              <w:jc w:val="both"/>
              <w:rPr>
                <w:rFonts w:asciiTheme="majorHAnsi" w:hAnsiTheme="majorHAnsi"/>
                <w:sz w:val="22"/>
                <w:szCs w:val="22"/>
                <w:lang w:val="fr-FR"/>
              </w:rPr>
            </w:pPr>
            <w:r w:rsidRPr="00F015DD">
              <w:rPr>
                <w:rFonts w:asciiTheme="majorHAnsi" w:hAnsiTheme="majorHAnsi"/>
                <w:sz w:val="22"/>
                <w:szCs w:val="22"/>
                <w:lang w:val="fr-FR"/>
              </w:rPr>
              <w:t xml:space="preserve">a) Interdire par la loi l’incitation à commettre un ou des actes terroristes; </w:t>
            </w:r>
          </w:p>
          <w:p w14:paraId="392AB1B1" w14:textId="77777777" w:rsidR="000D187E" w:rsidRPr="00F015DD" w:rsidRDefault="000D187E" w:rsidP="000D187E">
            <w:pPr>
              <w:shd w:val="clear" w:color="auto" w:fill="BFBFBF" w:themeFill="background1" w:themeFillShade="BF"/>
              <w:jc w:val="both"/>
              <w:rPr>
                <w:rFonts w:asciiTheme="majorHAnsi" w:hAnsiTheme="majorHAnsi"/>
                <w:sz w:val="22"/>
                <w:szCs w:val="22"/>
                <w:lang w:val="fr-FR"/>
              </w:rPr>
            </w:pPr>
            <w:r w:rsidRPr="00F015DD">
              <w:rPr>
                <w:rFonts w:asciiTheme="majorHAnsi" w:hAnsiTheme="majorHAnsi"/>
                <w:sz w:val="22"/>
                <w:szCs w:val="22"/>
                <w:lang w:val="fr-FR"/>
              </w:rPr>
              <w:t xml:space="preserve">b) Prévenir une telle incitation; </w:t>
            </w:r>
          </w:p>
          <w:p w14:paraId="35EF9563" w14:textId="77777777" w:rsidR="0034695E" w:rsidRPr="00F015DD" w:rsidRDefault="000D187E" w:rsidP="000D187E">
            <w:pPr>
              <w:shd w:val="clear" w:color="auto" w:fill="BFBFBF" w:themeFill="background1" w:themeFillShade="BF"/>
              <w:jc w:val="both"/>
              <w:rPr>
                <w:rFonts w:asciiTheme="majorHAnsi" w:hAnsiTheme="majorHAnsi"/>
                <w:sz w:val="22"/>
                <w:szCs w:val="22"/>
                <w:lang w:val="fr-FR"/>
              </w:rPr>
            </w:pPr>
            <w:r w:rsidRPr="00F015DD">
              <w:rPr>
                <w:rFonts w:asciiTheme="majorHAnsi" w:hAnsiTheme="majorHAnsi"/>
                <w:sz w:val="22"/>
                <w:szCs w:val="22"/>
                <w:lang w:val="fr-FR"/>
              </w:rPr>
              <w:t>c) Refuser l’asile à toute personne au sujet de laquelle on dispose d’informations crédibles et pertinentes selon lesquelles il existe des raisons sérieuses de penser qu’elle est coupable d’une telle incitation;</w:t>
            </w:r>
          </w:p>
          <w:p w14:paraId="4342D8BF" w14:textId="77777777" w:rsidR="0034695E" w:rsidRPr="00F015DD" w:rsidRDefault="0034695E" w:rsidP="006D6209">
            <w:pPr>
              <w:pStyle w:val="NormalWeb"/>
              <w:shd w:val="clear" w:color="auto" w:fill="BFBFBF" w:themeFill="background1" w:themeFillShade="BF"/>
              <w:spacing w:before="0" w:beforeAutospacing="0" w:after="0" w:afterAutospacing="0"/>
              <w:jc w:val="both"/>
              <w:rPr>
                <w:rFonts w:asciiTheme="majorHAnsi" w:hAnsiTheme="majorHAnsi" w:cstheme="minorBidi"/>
                <w:b/>
                <w:sz w:val="22"/>
                <w:szCs w:val="22"/>
                <w:lang w:val="fr-FR"/>
              </w:rPr>
            </w:pPr>
          </w:p>
          <w:p w14:paraId="7681F2CC" w14:textId="77777777" w:rsidR="002B0D7B" w:rsidRPr="00F015DD" w:rsidRDefault="000D187E" w:rsidP="00A00F42">
            <w:pPr>
              <w:pStyle w:val="NormalWeb"/>
              <w:shd w:val="clear" w:color="auto" w:fill="BFBFBF" w:themeFill="background1" w:themeFillShade="BF"/>
              <w:spacing w:before="0" w:beforeAutospacing="0" w:after="0" w:afterAutospacing="0"/>
              <w:jc w:val="both"/>
              <w:rPr>
                <w:rFonts w:asciiTheme="majorHAnsi" w:hAnsiTheme="majorHAnsi"/>
                <w:b/>
                <w:sz w:val="22"/>
                <w:szCs w:val="22"/>
                <w:lang w:val="fr-FR"/>
              </w:rPr>
            </w:pPr>
            <w:r w:rsidRPr="00F015DD">
              <w:rPr>
                <w:rFonts w:asciiTheme="majorHAnsi" w:hAnsiTheme="majorHAnsi"/>
                <w:b/>
                <w:sz w:val="22"/>
                <w:szCs w:val="22"/>
                <w:lang w:val="fr-FR"/>
              </w:rPr>
              <w:t xml:space="preserve">Le problème majeur </w:t>
            </w:r>
            <w:r w:rsidR="00A00F42" w:rsidRPr="00F015DD">
              <w:rPr>
                <w:rFonts w:asciiTheme="majorHAnsi" w:hAnsiTheme="majorHAnsi"/>
                <w:b/>
                <w:sz w:val="22"/>
                <w:szCs w:val="22"/>
                <w:lang w:val="fr-FR"/>
              </w:rPr>
              <w:t>que posent</w:t>
            </w:r>
            <w:r w:rsidRPr="00F015DD">
              <w:rPr>
                <w:rFonts w:asciiTheme="majorHAnsi" w:hAnsiTheme="majorHAnsi"/>
                <w:b/>
                <w:sz w:val="22"/>
                <w:szCs w:val="22"/>
                <w:lang w:val="fr-FR"/>
              </w:rPr>
              <w:t xml:space="preserve"> </w:t>
            </w:r>
            <w:r w:rsidR="00A00F42" w:rsidRPr="00F015DD">
              <w:rPr>
                <w:rFonts w:asciiTheme="majorHAnsi" w:hAnsiTheme="majorHAnsi"/>
                <w:b/>
                <w:sz w:val="22"/>
                <w:szCs w:val="22"/>
                <w:lang w:val="fr-FR"/>
              </w:rPr>
              <w:t>les</w:t>
            </w:r>
            <w:r w:rsidRPr="00F015DD">
              <w:rPr>
                <w:rFonts w:asciiTheme="majorHAnsi" w:hAnsiTheme="majorHAnsi"/>
                <w:b/>
                <w:sz w:val="22"/>
                <w:szCs w:val="22"/>
                <w:lang w:val="fr-FR"/>
              </w:rPr>
              <w:t xml:space="preserve"> restrictions légales </w:t>
            </w:r>
            <w:r w:rsidR="00A00F42" w:rsidRPr="00F015DD">
              <w:rPr>
                <w:rFonts w:asciiTheme="majorHAnsi" w:hAnsiTheme="majorHAnsi"/>
                <w:b/>
                <w:sz w:val="22"/>
                <w:szCs w:val="22"/>
                <w:lang w:val="fr-FR"/>
              </w:rPr>
              <w:t xml:space="preserve">en matière d’incitation au terrorisme est l’absence dans le droit international d’une définition du terrorisme qui soit reconnue au niveau international. </w:t>
            </w:r>
          </w:p>
          <w:p w14:paraId="724C6D06" w14:textId="77777777" w:rsidR="002B0D7B" w:rsidRPr="00F015DD" w:rsidRDefault="002B0D7B" w:rsidP="006D6209">
            <w:pPr>
              <w:pStyle w:val="NormalWeb"/>
              <w:shd w:val="clear" w:color="auto" w:fill="BFBFBF" w:themeFill="background1" w:themeFillShade="BF"/>
              <w:spacing w:before="0" w:beforeAutospacing="0" w:after="0" w:afterAutospacing="0"/>
              <w:jc w:val="both"/>
              <w:rPr>
                <w:rFonts w:asciiTheme="majorHAnsi" w:hAnsiTheme="majorHAnsi" w:cstheme="minorBidi"/>
                <w:b/>
                <w:sz w:val="22"/>
                <w:szCs w:val="22"/>
                <w:lang w:val="fr-FR"/>
              </w:rPr>
            </w:pPr>
          </w:p>
          <w:p w14:paraId="78FF7530" w14:textId="77777777" w:rsidR="0034695E" w:rsidRPr="00F015DD" w:rsidRDefault="00A00F42" w:rsidP="00A00F42">
            <w:pPr>
              <w:pStyle w:val="NormalWeb"/>
              <w:shd w:val="clear" w:color="auto" w:fill="BFBFBF" w:themeFill="background1" w:themeFillShade="BF"/>
              <w:spacing w:before="0" w:beforeAutospacing="0" w:after="0" w:afterAutospacing="0"/>
              <w:jc w:val="both"/>
              <w:rPr>
                <w:rFonts w:asciiTheme="majorHAnsi" w:hAnsiTheme="majorHAnsi"/>
                <w:sz w:val="22"/>
                <w:szCs w:val="22"/>
                <w:lang w:val="fr-FR"/>
              </w:rPr>
            </w:pPr>
            <w:r w:rsidRPr="00F015DD">
              <w:rPr>
                <w:rFonts w:asciiTheme="majorHAnsi" w:hAnsiTheme="majorHAnsi"/>
                <w:sz w:val="22"/>
                <w:szCs w:val="22"/>
                <w:lang w:val="fr-FR"/>
              </w:rPr>
              <w:t xml:space="preserve">Selon un rapport de </w:t>
            </w:r>
            <w:proofErr w:type="spellStart"/>
            <w:r w:rsidR="0034695E" w:rsidRPr="00F015DD">
              <w:rPr>
                <w:rFonts w:asciiTheme="majorHAnsi" w:hAnsiTheme="majorHAnsi"/>
                <w:sz w:val="22"/>
                <w:szCs w:val="22"/>
                <w:lang w:val="fr-FR"/>
              </w:rPr>
              <w:t>Human</w:t>
            </w:r>
            <w:proofErr w:type="spellEnd"/>
            <w:r w:rsidR="0034695E" w:rsidRPr="00F015DD">
              <w:rPr>
                <w:rFonts w:asciiTheme="majorHAnsi" w:hAnsiTheme="majorHAnsi"/>
                <w:sz w:val="22"/>
                <w:szCs w:val="22"/>
                <w:lang w:val="fr-FR"/>
              </w:rPr>
              <w:t xml:space="preserve"> </w:t>
            </w:r>
            <w:proofErr w:type="spellStart"/>
            <w:r w:rsidR="0034695E" w:rsidRPr="00F015DD">
              <w:rPr>
                <w:rFonts w:asciiTheme="majorHAnsi" w:hAnsiTheme="majorHAnsi"/>
                <w:sz w:val="22"/>
                <w:szCs w:val="22"/>
                <w:lang w:val="fr-FR"/>
              </w:rPr>
              <w:t>Rights</w:t>
            </w:r>
            <w:proofErr w:type="spellEnd"/>
            <w:r w:rsidR="0034695E" w:rsidRPr="00F015DD">
              <w:rPr>
                <w:rFonts w:asciiTheme="majorHAnsi" w:hAnsiTheme="majorHAnsi"/>
                <w:sz w:val="22"/>
                <w:szCs w:val="22"/>
                <w:lang w:val="fr-FR"/>
              </w:rPr>
              <w:t xml:space="preserve"> Watch</w:t>
            </w:r>
            <w:r w:rsidRPr="00F015DD">
              <w:rPr>
                <w:rFonts w:asciiTheme="majorHAnsi" w:hAnsiTheme="majorHAnsi"/>
                <w:sz w:val="22"/>
                <w:szCs w:val="22"/>
                <w:lang w:val="fr-FR"/>
              </w:rPr>
              <w:t xml:space="preserve"> datant de</w:t>
            </w:r>
            <w:r w:rsidR="0034695E" w:rsidRPr="00F015DD">
              <w:rPr>
                <w:rFonts w:asciiTheme="majorHAnsi" w:hAnsiTheme="majorHAnsi"/>
                <w:sz w:val="22"/>
                <w:szCs w:val="22"/>
                <w:lang w:val="fr-FR"/>
              </w:rPr>
              <w:t xml:space="preserve"> 2012, </w:t>
            </w:r>
            <w:r w:rsidRPr="00F015DD">
              <w:rPr>
                <w:rFonts w:asciiTheme="majorHAnsi" w:hAnsiTheme="majorHAnsi"/>
                <w:sz w:val="22"/>
                <w:szCs w:val="22"/>
                <w:lang w:val="fr-FR"/>
              </w:rPr>
              <w:t xml:space="preserve">plus de 140 pays ont adoptés des lois contre le terrorisme depuis les attaques du 11 septembre 2001. </w:t>
            </w:r>
            <w:proofErr w:type="spellStart"/>
            <w:r w:rsidR="0034695E" w:rsidRPr="00F015DD">
              <w:rPr>
                <w:rFonts w:asciiTheme="majorHAnsi" w:hAnsiTheme="majorHAnsi"/>
                <w:sz w:val="22"/>
                <w:szCs w:val="22"/>
                <w:lang w:val="fr-FR"/>
              </w:rPr>
              <w:t>Human</w:t>
            </w:r>
            <w:proofErr w:type="spellEnd"/>
            <w:r w:rsidR="0034695E" w:rsidRPr="00F015DD">
              <w:rPr>
                <w:rFonts w:asciiTheme="majorHAnsi" w:hAnsiTheme="majorHAnsi"/>
                <w:sz w:val="22"/>
                <w:szCs w:val="22"/>
                <w:lang w:val="fr-FR"/>
              </w:rPr>
              <w:t xml:space="preserve"> </w:t>
            </w:r>
            <w:proofErr w:type="spellStart"/>
            <w:r w:rsidR="0034695E" w:rsidRPr="00F015DD">
              <w:rPr>
                <w:rFonts w:asciiTheme="majorHAnsi" w:hAnsiTheme="majorHAnsi"/>
                <w:sz w:val="22"/>
                <w:szCs w:val="22"/>
                <w:lang w:val="fr-FR"/>
              </w:rPr>
              <w:t>Rights</w:t>
            </w:r>
            <w:proofErr w:type="spellEnd"/>
            <w:r w:rsidR="0034695E" w:rsidRPr="00F015DD">
              <w:rPr>
                <w:rFonts w:asciiTheme="majorHAnsi" w:hAnsiTheme="majorHAnsi"/>
                <w:sz w:val="22"/>
                <w:szCs w:val="22"/>
                <w:lang w:val="fr-FR"/>
              </w:rPr>
              <w:t xml:space="preserve"> Watch </w:t>
            </w:r>
            <w:r w:rsidRPr="00F015DD">
              <w:rPr>
                <w:rFonts w:asciiTheme="majorHAnsi" w:hAnsiTheme="majorHAnsi"/>
                <w:sz w:val="22"/>
                <w:szCs w:val="22"/>
                <w:lang w:val="fr-FR"/>
              </w:rPr>
              <w:t xml:space="preserve">a examiné 130 de ces lois et a trouvé qu’elles contenaient toutes une ou plusieurs dispositions </w:t>
            </w:r>
            <w:r w:rsidR="0034695E" w:rsidRPr="00F015DD">
              <w:rPr>
                <w:rFonts w:asciiTheme="majorHAnsi" w:hAnsiTheme="majorHAnsi"/>
                <w:sz w:val="22"/>
                <w:szCs w:val="22"/>
                <w:lang w:val="fr-FR"/>
              </w:rPr>
              <w:t xml:space="preserve"> </w:t>
            </w:r>
            <w:r w:rsidRPr="00F015DD">
              <w:rPr>
                <w:rFonts w:asciiTheme="majorHAnsi" w:hAnsiTheme="majorHAnsi"/>
                <w:sz w:val="22"/>
                <w:szCs w:val="22"/>
                <w:lang w:val="fr-FR"/>
              </w:rPr>
              <w:t>ouvrant la porte aux abus</w:t>
            </w:r>
            <w:r w:rsidR="0034695E" w:rsidRPr="00F015DD">
              <w:rPr>
                <w:rFonts w:asciiTheme="majorHAnsi" w:hAnsiTheme="majorHAnsi"/>
                <w:sz w:val="22"/>
                <w:szCs w:val="22"/>
                <w:lang w:val="fr-FR"/>
              </w:rPr>
              <w:t>.</w:t>
            </w:r>
            <w:r w:rsidR="0034695E" w:rsidRPr="00F015DD">
              <w:rPr>
                <w:rStyle w:val="FootnoteReference"/>
                <w:rFonts w:asciiTheme="majorHAnsi" w:hAnsiTheme="majorHAnsi"/>
                <w:sz w:val="22"/>
                <w:szCs w:val="22"/>
                <w:lang w:val="fr-FR"/>
              </w:rPr>
              <w:footnoteReference w:id="29"/>
            </w:r>
            <w:r w:rsidR="0034695E" w:rsidRPr="00F015DD">
              <w:rPr>
                <w:rFonts w:asciiTheme="majorHAnsi" w:hAnsiTheme="majorHAnsi"/>
                <w:sz w:val="22"/>
                <w:szCs w:val="22"/>
                <w:lang w:val="fr-FR"/>
              </w:rPr>
              <w:t xml:space="preserve"> </w:t>
            </w:r>
            <w:r w:rsidRPr="00F015DD">
              <w:rPr>
                <w:rFonts w:asciiTheme="majorHAnsi" w:hAnsiTheme="majorHAnsi"/>
                <w:sz w:val="22"/>
                <w:szCs w:val="22"/>
                <w:lang w:val="fr-FR"/>
              </w:rPr>
              <w:t>Parmi les 8 éléments les plus susceptibles d’abus, deux sont directement en rapport avec la liberté d’expression</w:t>
            </w:r>
            <w:r w:rsidR="0034695E" w:rsidRPr="00F015DD">
              <w:rPr>
                <w:rFonts w:asciiTheme="majorHAnsi" w:hAnsiTheme="majorHAnsi"/>
                <w:sz w:val="22"/>
                <w:szCs w:val="22"/>
                <w:lang w:val="fr-FR"/>
              </w:rPr>
              <w:t xml:space="preserve">: </w:t>
            </w:r>
          </w:p>
          <w:p w14:paraId="7B3FB5EF" w14:textId="77777777" w:rsidR="0034695E" w:rsidRPr="00F015DD" w:rsidRDefault="00A00F42" w:rsidP="005972FF">
            <w:pPr>
              <w:pStyle w:val="NormalWeb"/>
              <w:numPr>
                <w:ilvl w:val="0"/>
                <w:numId w:val="16"/>
              </w:numPr>
              <w:shd w:val="clear" w:color="auto" w:fill="BFBFBF" w:themeFill="background1" w:themeFillShade="BF"/>
              <w:spacing w:before="0" w:beforeAutospacing="0" w:after="0" w:afterAutospacing="0"/>
              <w:jc w:val="both"/>
              <w:rPr>
                <w:rFonts w:asciiTheme="majorHAnsi" w:hAnsiTheme="majorHAnsi"/>
                <w:sz w:val="22"/>
                <w:szCs w:val="22"/>
                <w:lang w:val="fr-FR"/>
              </w:rPr>
            </w:pPr>
            <w:r w:rsidRPr="00F015DD">
              <w:rPr>
                <w:rFonts w:asciiTheme="majorHAnsi" w:hAnsiTheme="majorHAnsi"/>
                <w:sz w:val="22"/>
                <w:szCs w:val="22"/>
                <w:lang w:val="fr-FR"/>
              </w:rPr>
              <w:t xml:space="preserve">Les restrictions imposées au financement et autre appui matériel </w:t>
            </w:r>
            <w:r w:rsidR="005972FF" w:rsidRPr="00F015DD">
              <w:rPr>
                <w:rFonts w:asciiTheme="majorHAnsi" w:hAnsiTheme="majorHAnsi"/>
                <w:sz w:val="22"/>
                <w:szCs w:val="22"/>
                <w:lang w:val="fr-FR"/>
              </w:rPr>
              <w:t>au terrorisme et aux organisations terroristes</w:t>
            </w:r>
            <w:r w:rsidR="0034695E" w:rsidRPr="00F015DD">
              <w:rPr>
                <w:rFonts w:asciiTheme="majorHAnsi" w:hAnsiTheme="majorHAnsi"/>
                <w:sz w:val="22"/>
                <w:szCs w:val="22"/>
                <w:lang w:val="fr-FR"/>
              </w:rPr>
              <w:t xml:space="preserve">; </w:t>
            </w:r>
            <w:r w:rsidR="005972FF" w:rsidRPr="00F015DD">
              <w:rPr>
                <w:rFonts w:asciiTheme="majorHAnsi" w:hAnsiTheme="majorHAnsi"/>
                <w:sz w:val="22"/>
                <w:szCs w:val="22"/>
                <w:lang w:val="fr-FR"/>
              </w:rPr>
              <w:t>et</w:t>
            </w:r>
            <w:r w:rsidR="0034695E" w:rsidRPr="00F015DD">
              <w:rPr>
                <w:rFonts w:asciiTheme="majorHAnsi" w:hAnsiTheme="majorHAnsi"/>
                <w:sz w:val="22"/>
                <w:szCs w:val="22"/>
                <w:lang w:val="fr-FR"/>
              </w:rPr>
              <w:t xml:space="preserve">, </w:t>
            </w:r>
          </w:p>
          <w:p w14:paraId="563389A2" w14:textId="77777777" w:rsidR="0034695E" w:rsidRPr="00F015DD" w:rsidRDefault="005972FF" w:rsidP="005972FF">
            <w:pPr>
              <w:pStyle w:val="NormalWeb"/>
              <w:numPr>
                <w:ilvl w:val="0"/>
                <w:numId w:val="16"/>
              </w:numPr>
              <w:shd w:val="clear" w:color="auto" w:fill="BFBFBF" w:themeFill="background1" w:themeFillShade="BF"/>
              <w:spacing w:before="0" w:beforeAutospacing="0" w:after="0" w:afterAutospacing="0"/>
              <w:jc w:val="both"/>
              <w:rPr>
                <w:rFonts w:asciiTheme="majorHAnsi" w:hAnsiTheme="majorHAnsi"/>
                <w:sz w:val="22"/>
                <w:szCs w:val="22"/>
                <w:lang w:val="fr-FR"/>
              </w:rPr>
            </w:pPr>
            <w:r w:rsidRPr="00F015DD">
              <w:rPr>
                <w:rFonts w:asciiTheme="majorHAnsi" w:hAnsiTheme="majorHAnsi"/>
                <w:sz w:val="22"/>
                <w:szCs w:val="22"/>
                <w:lang w:val="fr-FR"/>
              </w:rPr>
              <w:t>Les restrictions à l’expression ou au rassemblement qui encourage de manière ostentatoire, incite, justifie ou apporte de l’appui au terrorisme</w:t>
            </w:r>
            <w:r w:rsidR="0034695E" w:rsidRPr="00F015DD">
              <w:rPr>
                <w:rFonts w:asciiTheme="majorHAnsi" w:hAnsiTheme="majorHAnsi"/>
                <w:sz w:val="22"/>
                <w:szCs w:val="22"/>
                <w:lang w:val="fr-FR"/>
              </w:rPr>
              <w:t xml:space="preserve">. </w:t>
            </w:r>
          </w:p>
          <w:p w14:paraId="1233F6C7" w14:textId="77777777" w:rsidR="0034695E" w:rsidRPr="00F015DD" w:rsidRDefault="0034695E" w:rsidP="006D6209">
            <w:pPr>
              <w:pStyle w:val="NormalWeb"/>
              <w:shd w:val="clear" w:color="auto" w:fill="BFBFBF" w:themeFill="background1" w:themeFillShade="BF"/>
              <w:spacing w:before="0" w:beforeAutospacing="0" w:after="0" w:afterAutospacing="0"/>
              <w:jc w:val="both"/>
              <w:rPr>
                <w:rFonts w:asciiTheme="majorHAnsi" w:hAnsiTheme="majorHAnsi"/>
                <w:sz w:val="22"/>
                <w:szCs w:val="22"/>
                <w:lang w:val="fr-FR"/>
              </w:rPr>
            </w:pPr>
          </w:p>
          <w:p w14:paraId="6E8EEB7C" w14:textId="0EE82AEC" w:rsidR="0034695E" w:rsidRPr="00F015DD" w:rsidRDefault="005972FF" w:rsidP="00845F49">
            <w:pPr>
              <w:pStyle w:val="NormalWeb"/>
              <w:shd w:val="clear" w:color="auto" w:fill="BFBFBF" w:themeFill="background1" w:themeFillShade="BF"/>
              <w:spacing w:before="0" w:beforeAutospacing="0" w:after="0" w:afterAutospacing="0"/>
              <w:jc w:val="both"/>
              <w:rPr>
                <w:rFonts w:asciiTheme="majorHAnsi" w:hAnsiTheme="majorHAnsi"/>
                <w:sz w:val="22"/>
                <w:szCs w:val="22"/>
                <w:lang w:val="fr-FR"/>
              </w:rPr>
            </w:pPr>
            <w:r w:rsidRPr="00F015DD">
              <w:rPr>
                <w:rFonts w:asciiTheme="majorHAnsi" w:hAnsiTheme="majorHAnsi"/>
                <w:sz w:val="22"/>
                <w:szCs w:val="22"/>
                <w:lang w:val="fr-FR"/>
              </w:rPr>
              <w:t xml:space="preserve">Par exemple, près de 100 dispositions antiterroristes examinées par </w:t>
            </w:r>
            <w:proofErr w:type="spellStart"/>
            <w:r w:rsidR="0034695E" w:rsidRPr="00F015DD">
              <w:rPr>
                <w:rFonts w:asciiTheme="majorHAnsi" w:hAnsiTheme="majorHAnsi"/>
                <w:sz w:val="22"/>
                <w:szCs w:val="22"/>
                <w:lang w:val="fr-FR"/>
              </w:rPr>
              <w:t>Human</w:t>
            </w:r>
            <w:proofErr w:type="spellEnd"/>
            <w:r w:rsidR="0034695E" w:rsidRPr="00F015DD">
              <w:rPr>
                <w:rFonts w:asciiTheme="majorHAnsi" w:hAnsiTheme="majorHAnsi"/>
                <w:sz w:val="22"/>
                <w:szCs w:val="22"/>
                <w:lang w:val="fr-FR"/>
              </w:rPr>
              <w:t xml:space="preserve"> </w:t>
            </w:r>
            <w:proofErr w:type="spellStart"/>
            <w:r w:rsidR="0034695E" w:rsidRPr="00F015DD">
              <w:rPr>
                <w:rFonts w:asciiTheme="majorHAnsi" w:hAnsiTheme="majorHAnsi"/>
                <w:sz w:val="22"/>
                <w:szCs w:val="22"/>
                <w:lang w:val="fr-FR"/>
              </w:rPr>
              <w:t>Rights</w:t>
            </w:r>
            <w:proofErr w:type="spellEnd"/>
            <w:r w:rsidR="0034695E" w:rsidRPr="00F015DD">
              <w:rPr>
                <w:rFonts w:asciiTheme="majorHAnsi" w:hAnsiTheme="majorHAnsi"/>
                <w:sz w:val="22"/>
                <w:szCs w:val="22"/>
                <w:lang w:val="fr-FR"/>
              </w:rPr>
              <w:t xml:space="preserve"> Watch </w:t>
            </w:r>
            <w:r w:rsidRPr="00F015DD">
              <w:rPr>
                <w:rFonts w:asciiTheme="majorHAnsi" w:hAnsiTheme="majorHAnsi"/>
                <w:sz w:val="22"/>
                <w:szCs w:val="22"/>
                <w:lang w:val="fr-FR"/>
              </w:rPr>
              <w:t>définissent en tant que crime l’appui matériel au terrorisme</w:t>
            </w:r>
            <w:r w:rsidR="0034695E" w:rsidRPr="00F015DD">
              <w:rPr>
                <w:rFonts w:asciiTheme="majorHAnsi" w:hAnsiTheme="majorHAnsi"/>
                <w:sz w:val="22"/>
                <w:szCs w:val="22"/>
                <w:lang w:val="fr-FR"/>
              </w:rPr>
              <w:t xml:space="preserve">. </w:t>
            </w:r>
            <w:r w:rsidRPr="00F015DD">
              <w:rPr>
                <w:rFonts w:asciiTheme="majorHAnsi" w:hAnsiTheme="majorHAnsi"/>
                <w:sz w:val="22"/>
                <w:szCs w:val="22"/>
                <w:lang w:val="fr-FR"/>
              </w:rPr>
              <w:t xml:space="preserve">Parmi ces </w:t>
            </w:r>
            <w:proofErr w:type="spellStart"/>
            <w:r w:rsidRPr="00F015DD">
              <w:rPr>
                <w:rFonts w:asciiTheme="majorHAnsi" w:hAnsiTheme="majorHAnsi"/>
                <w:sz w:val="22"/>
                <w:szCs w:val="22"/>
                <w:lang w:val="fr-FR"/>
              </w:rPr>
              <w:t>dipositions</w:t>
            </w:r>
            <w:proofErr w:type="spellEnd"/>
            <w:r w:rsidRPr="00F015DD">
              <w:rPr>
                <w:rFonts w:asciiTheme="majorHAnsi" w:hAnsiTheme="majorHAnsi"/>
                <w:sz w:val="22"/>
                <w:szCs w:val="22"/>
                <w:lang w:val="fr-FR"/>
              </w:rPr>
              <w:t xml:space="preserve">, 32 n’exigent </w:t>
            </w:r>
            <w:r w:rsidRPr="00F015DD">
              <w:rPr>
                <w:rFonts w:asciiTheme="majorHAnsi" w:hAnsiTheme="majorHAnsi"/>
                <w:sz w:val="22"/>
                <w:szCs w:val="22"/>
                <w:lang w:val="fr-FR"/>
              </w:rPr>
              <w:lastRenderedPageBreak/>
              <w:t xml:space="preserve">ni de </w:t>
            </w:r>
            <w:r w:rsidRPr="00552C09">
              <w:rPr>
                <w:rFonts w:asciiTheme="majorHAnsi" w:hAnsiTheme="majorHAnsi"/>
                <w:i/>
                <w:sz w:val="22"/>
                <w:szCs w:val="22"/>
                <w:lang w:val="fr-FR"/>
              </w:rPr>
              <w:t>savoir</w:t>
            </w:r>
            <w:r w:rsidRPr="00F015DD">
              <w:rPr>
                <w:rFonts w:asciiTheme="majorHAnsi" w:hAnsiTheme="majorHAnsi"/>
                <w:sz w:val="22"/>
                <w:szCs w:val="22"/>
                <w:lang w:val="fr-FR"/>
              </w:rPr>
              <w:t xml:space="preserve"> </w:t>
            </w:r>
            <w:r w:rsidR="00552C09">
              <w:rPr>
                <w:rFonts w:asciiTheme="majorHAnsi" w:hAnsiTheme="majorHAnsi"/>
                <w:sz w:val="22"/>
                <w:szCs w:val="22"/>
                <w:lang w:val="fr-FR"/>
              </w:rPr>
              <w:t xml:space="preserve">que </w:t>
            </w:r>
            <w:r w:rsidR="00552C09" w:rsidRPr="00F015DD">
              <w:rPr>
                <w:rFonts w:asciiTheme="majorHAnsi" w:hAnsiTheme="majorHAnsi"/>
                <w:sz w:val="22"/>
                <w:szCs w:val="22"/>
                <w:lang w:val="fr-FR"/>
              </w:rPr>
              <w:t>l’appui présenté</w:t>
            </w:r>
            <w:r w:rsidR="00552C09">
              <w:rPr>
                <w:rFonts w:asciiTheme="majorHAnsi" w:hAnsiTheme="majorHAnsi"/>
                <w:sz w:val="22"/>
                <w:szCs w:val="22"/>
                <w:lang w:val="fr-FR"/>
              </w:rPr>
              <w:t xml:space="preserve"> pourrait donner lieu </w:t>
            </w:r>
            <w:r w:rsidR="00552C09" w:rsidRPr="00F015DD">
              <w:rPr>
                <w:rFonts w:asciiTheme="majorHAnsi" w:hAnsiTheme="majorHAnsi"/>
                <w:sz w:val="22"/>
                <w:szCs w:val="22"/>
                <w:lang w:val="fr-FR"/>
              </w:rPr>
              <w:t>à un délit lié au terrorisme</w:t>
            </w:r>
            <w:r w:rsidR="00552C09">
              <w:rPr>
                <w:rFonts w:asciiTheme="majorHAnsi" w:hAnsiTheme="majorHAnsi"/>
                <w:sz w:val="22"/>
                <w:szCs w:val="22"/>
                <w:lang w:val="fr-FR"/>
              </w:rPr>
              <w:t xml:space="preserve">, ni </w:t>
            </w:r>
            <w:r w:rsidRPr="00552C09">
              <w:rPr>
                <w:rFonts w:asciiTheme="majorHAnsi" w:hAnsiTheme="majorHAnsi"/>
                <w:i/>
                <w:sz w:val="22"/>
                <w:szCs w:val="22"/>
                <w:lang w:val="fr-FR"/>
              </w:rPr>
              <w:t>d’avoir l’intention</w:t>
            </w:r>
            <w:r w:rsidRPr="00F015DD">
              <w:rPr>
                <w:rFonts w:asciiTheme="majorHAnsi" w:hAnsiTheme="majorHAnsi"/>
                <w:sz w:val="22"/>
                <w:szCs w:val="22"/>
                <w:lang w:val="fr-FR"/>
              </w:rPr>
              <w:t xml:space="preserve"> d</w:t>
            </w:r>
            <w:r w:rsidR="00845F49" w:rsidRPr="00F015DD">
              <w:rPr>
                <w:rFonts w:asciiTheme="majorHAnsi" w:hAnsiTheme="majorHAnsi"/>
                <w:sz w:val="22"/>
                <w:szCs w:val="22"/>
                <w:lang w:val="fr-FR"/>
              </w:rPr>
              <w:t>e donner lieu</w:t>
            </w:r>
            <w:r w:rsidR="00552C09">
              <w:rPr>
                <w:rFonts w:asciiTheme="majorHAnsi" w:hAnsiTheme="majorHAnsi"/>
                <w:sz w:val="22"/>
                <w:szCs w:val="22"/>
                <w:lang w:val="fr-FR"/>
              </w:rPr>
              <w:t>,</w:t>
            </w:r>
            <w:r w:rsidR="00845F49" w:rsidRPr="00F015DD">
              <w:rPr>
                <w:rFonts w:asciiTheme="majorHAnsi" w:hAnsiTheme="majorHAnsi"/>
                <w:sz w:val="22"/>
                <w:szCs w:val="22"/>
                <w:lang w:val="fr-FR"/>
              </w:rPr>
              <w:t xml:space="preserve"> à travers l’appui prés</w:t>
            </w:r>
            <w:r w:rsidR="00C46469" w:rsidRPr="00F015DD">
              <w:rPr>
                <w:rFonts w:asciiTheme="majorHAnsi" w:hAnsiTheme="majorHAnsi"/>
                <w:sz w:val="22"/>
                <w:szCs w:val="22"/>
                <w:lang w:val="fr-FR"/>
              </w:rPr>
              <w:t>enté</w:t>
            </w:r>
            <w:r w:rsidR="00552C09">
              <w:rPr>
                <w:rFonts w:asciiTheme="majorHAnsi" w:hAnsiTheme="majorHAnsi"/>
                <w:sz w:val="22"/>
                <w:szCs w:val="22"/>
                <w:lang w:val="fr-FR"/>
              </w:rPr>
              <w:t>,</w:t>
            </w:r>
            <w:r w:rsidR="00C46469" w:rsidRPr="00F015DD">
              <w:rPr>
                <w:rFonts w:asciiTheme="majorHAnsi" w:hAnsiTheme="majorHAnsi"/>
                <w:sz w:val="22"/>
                <w:szCs w:val="22"/>
                <w:lang w:val="fr-FR"/>
              </w:rPr>
              <w:t xml:space="preserve"> à un délit lié au terrorism</w:t>
            </w:r>
            <w:r w:rsidR="00552C09">
              <w:rPr>
                <w:rFonts w:asciiTheme="majorHAnsi" w:hAnsiTheme="majorHAnsi"/>
                <w:sz w:val="22"/>
                <w:szCs w:val="22"/>
                <w:lang w:val="fr-FR"/>
              </w:rPr>
              <w:t xml:space="preserve">e. </w:t>
            </w:r>
            <w:r w:rsidR="00845F49" w:rsidRPr="00F015DD">
              <w:rPr>
                <w:rFonts w:asciiTheme="majorHAnsi" w:hAnsiTheme="majorHAnsi"/>
                <w:sz w:val="22"/>
                <w:szCs w:val="22"/>
                <w:lang w:val="fr-FR"/>
              </w:rPr>
              <w:t xml:space="preserve"> </w:t>
            </w:r>
            <w:r w:rsidR="00A76BFE">
              <w:rPr>
                <w:rFonts w:asciiTheme="majorHAnsi" w:hAnsiTheme="majorHAnsi"/>
                <w:sz w:val="22"/>
                <w:szCs w:val="22"/>
                <w:lang w:val="fr-FR"/>
              </w:rPr>
              <w:t xml:space="preserve">L’imprudence ou l’insouciance sont </w:t>
            </w:r>
            <w:proofErr w:type="spellStart"/>
            <w:r w:rsidR="00A76BFE">
              <w:rPr>
                <w:rFonts w:asciiTheme="majorHAnsi" w:hAnsiTheme="majorHAnsi"/>
                <w:sz w:val="22"/>
                <w:szCs w:val="22"/>
                <w:lang w:val="fr-FR"/>
              </w:rPr>
              <w:t>deslors</w:t>
            </w:r>
            <w:proofErr w:type="spellEnd"/>
            <w:r w:rsidR="00A76BFE">
              <w:rPr>
                <w:rFonts w:asciiTheme="majorHAnsi" w:hAnsiTheme="majorHAnsi"/>
                <w:sz w:val="22"/>
                <w:szCs w:val="22"/>
                <w:lang w:val="fr-FR"/>
              </w:rPr>
              <w:t xml:space="preserve"> des</w:t>
            </w:r>
            <w:r w:rsidR="00845F49" w:rsidRPr="00F015DD">
              <w:rPr>
                <w:rFonts w:asciiTheme="majorHAnsi" w:hAnsiTheme="majorHAnsi"/>
                <w:sz w:val="22"/>
                <w:szCs w:val="22"/>
                <w:lang w:val="fr-FR"/>
              </w:rPr>
              <w:t xml:space="preserve"> élément</w:t>
            </w:r>
            <w:r w:rsidR="00A76BFE">
              <w:rPr>
                <w:rFonts w:asciiTheme="majorHAnsi" w:hAnsiTheme="majorHAnsi"/>
                <w:sz w:val="22"/>
                <w:szCs w:val="22"/>
                <w:lang w:val="fr-FR"/>
              </w:rPr>
              <w:t>s</w:t>
            </w:r>
            <w:r w:rsidR="00845F49" w:rsidRPr="00F015DD">
              <w:rPr>
                <w:rFonts w:asciiTheme="majorHAnsi" w:hAnsiTheme="majorHAnsi"/>
                <w:sz w:val="22"/>
                <w:szCs w:val="22"/>
                <w:lang w:val="fr-FR"/>
              </w:rPr>
              <w:t xml:space="preserve"> suffisant</w:t>
            </w:r>
            <w:r w:rsidR="00A76BFE">
              <w:rPr>
                <w:rFonts w:asciiTheme="majorHAnsi" w:hAnsiTheme="majorHAnsi"/>
                <w:sz w:val="22"/>
                <w:szCs w:val="22"/>
                <w:lang w:val="fr-FR"/>
              </w:rPr>
              <w:t>s</w:t>
            </w:r>
            <w:r w:rsidR="00845F49" w:rsidRPr="00F015DD">
              <w:rPr>
                <w:rFonts w:asciiTheme="majorHAnsi" w:hAnsiTheme="majorHAnsi"/>
                <w:sz w:val="22"/>
                <w:szCs w:val="22"/>
                <w:lang w:val="fr-FR"/>
              </w:rPr>
              <w:t xml:space="preserve"> pour condamner la personne qui a </w:t>
            </w:r>
            <w:r w:rsidR="00A76BFE" w:rsidRPr="00F015DD">
              <w:rPr>
                <w:rFonts w:asciiTheme="majorHAnsi" w:hAnsiTheme="majorHAnsi"/>
                <w:sz w:val="22"/>
                <w:szCs w:val="22"/>
                <w:lang w:val="fr-FR"/>
              </w:rPr>
              <w:t>apporté</w:t>
            </w:r>
            <w:r w:rsidR="00845F49" w:rsidRPr="00F015DD">
              <w:rPr>
                <w:rFonts w:asciiTheme="majorHAnsi" w:hAnsiTheme="majorHAnsi"/>
                <w:sz w:val="22"/>
                <w:szCs w:val="22"/>
                <w:lang w:val="fr-FR"/>
              </w:rPr>
              <w:t xml:space="preserve"> l’appui</w:t>
            </w:r>
            <w:r w:rsidR="0034695E" w:rsidRPr="00F015DD">
              <w:rPr>
                <w:rFonts w:asciiTheme="majorHAnsi" w:hAnsiTheme="majorHAnsi"/>
                <w:sz w:val="22"/>
                <w:szCs w:val="22"/>
                <w:lang w:val="fr-FR"/>
              </w:rPr>
              <w:t>.</w:t>
            </w:r>
            <w:r w:rsidR="0034695E" w:rsidRPr="00F015DD">
              <w:rPr>
                <w:rStyle w:val="FootnoteReference"/>
                <w:rFonts w:asciiTheme="majorHAnsi" w:hAnsiTheme="majorHAnsi"/>
                <w:sz w:val="22"/>
                <w:szCs w:val="22"/>
                <w:lang w:val="fr-FR"/>
              </w:rPr>
              <w:footnoteReference w:id="30"/>
            </w:r>
            <w:r w:rsidR="0034695E" w:rsidRPr="00F015DD">
              <w:rPr>
                <w:rFonts w:asciiTheme="majorHAnsi" w:hAnsiTheme="majorHAnsi"/>
                <w:sz w:val="22"/>
                <w:szCs w:val="22"/>
                <w:lang w:val="fr-FR"/>
              </w:rPr>
              <w:t xml:space="preserve"> </w:t>
            </w:r>
          </w:p>
          <w:p w14:paraId="7BECE0EA" w14:textId="77777777" w:rsidR="0034695E" w:rsidRPr="00F015DD" w:rsidRDefault="0034695E" w:rsidP="006D6209">
            <w:pPr>
              <w:pStyle w:val="NormalWeb"/>
              <w:shd w:val="clear" w:color="auto" w:fill="BFBFBF" w:themeFill="background1" w:themeFillShade="BF"/>
              <w:spacing w:before="0" w:beforeAutospacing="0" w:after="0" w:afterAutospacing="0"/>
              <w:jc w:val="both"/>
              <w:rPr>
                <w:rFonts w:asciiTheme="majorHAnsi" w:hAnsiTheme="majorHAnsi"/>
                <w:sz w:val="22"/>
                <w:szCs w:val="22"/>
                <w:lang w:val="fr-FR"/>
              </w:rPr>
            </w:pPr>
          </w:p>
          <w:p w14:paraId="497D6E5D" w14:textId="77777777" w:rsidR="0034695E" w:rsidRPr="00F015DD" w:rsidRDefault="00845F49" w:rsidP="00BE7803">
            <w:pPr>
              <w:pStyle w:val="NormalWeb"/>
              <w:shd w:val="clear" w:color="auto" w:fill="BFBFBF" w:themeFill="background1" w:themeFillShade="BF"/>
              <w:spacing w:before="0" w:beforeAutospacing="0" w:after="0" w:afterAutospacing="0"/>
              <w:jc w:val="both"/>
              <w:rPr>
                <w:rFonts w:asciiTheme="majorHAnsi" w:hAnsiTheme="majorHAnsi"/>
                <w:sz w:val="22"/>
                <w:szCs w:val="22"/>
                <w:lang w:val="fr-FR"/>
              </w:rPr>
            </w:pPr>
            <w:r w:rsidRPr="00F015DD">
              <w:rPr>
                <w:rFonts w:asciiTheme="majorHAnsi" w:hAnsiTheme="majorHAnsi"/>
                <w:sz w:val="22"/>
                <w:szCs w:val="22"/>
                <w:lang w:val="fr-FR"/>
              </w:rPr>
              <w:t xml:space="preserve">La Russie a ainsi adopté en 2002 une loi portant sur </w:t>
            </w:r>
            <w:r w:rsidR="0034695E" w:rsidRPr="00F015DD">
              <w:rPr>
                <w:rFonts w:asciiTheme="majorHAnsi" w:hAnsiTheme="majorHAnsi"/>
                <w:sz w:val="22"/>
                <w:szCs w:val="22"/>
                <w:lang w:val="fr-FR"/>
              </w:rPr>
              <w:t xml:space="preserve"> </w:t>
            </w:r>
            <w:r w:rsidRPr="00F015DD">
              <w:rPr>
                <w:rFonts w:asciiTheme="majorHAnsi" w:hAnsiTheme="majorHAnsi"/>
                <w:sz w:val="22"/>
                <w:szCs w:val="22"/>
                <w:lang w:val="fr-FR"/>
              </w:rPr>
              <w:t xml:space="preserve">“la lutte contre les activités extrémistes” qui a été amendée en 2007 pour prévoir “une expansion de la définition de l’extrémisme en incluant </w:t>
            </w:r>
            <w:r w:rsidR="0034695E" w:rsidRPr="00F015DD">
              <w:rPr>
                <w:rFonts w:asciiTheme="majorHAnsi" w:hAnsiTheme="majorHAnsi"/>
                <w:sz w:val="22"/>
                <w:szCs w:val="22"/>
                <w:lang w:val="fr-FR"/>
              </w:rPr>
              <w:t xml:space="preserve"> “</w:t>
            </w:r>
            <w:r w:rsidRPr="00F015DD">
              <w:rPr>
                <w:rFonts w:asciiTheme="majorHAnsi" w:hAnsiTheme="majorHAnsi"/>
                <w:sz w:val="22"/>
                <w:szCs w:val="22"/>
                <w:lang w:val="fr-FR"/>
              </w:rPr>
              <w:t>la haine ou l’hostilité à l’encontre d’un quelconque groupe social</w:t>
            </w:r>
            <w:r w:rsidR="0034695E" w:rsidRPr="00F015DD">
              <w:rPr>
                <w:rFonts w:asciiTheme="majorHAnsi" w:hAnsiTheme="majorHAnsi"/>
                <w:sz w:val="22"/>
                <w:szCs w:val="22"/>
                <w:lang w:val="fr-FR"/>
              </w:rPr>
              <w:t xml:space="preserve">” – </w:t>
            </w:r>
            <w:r w:rsidRPr="00F015DD">
              <w:rPr>
                <w:rFonts w:asciiTheme="majorHAnsi" w:hAnsiTheme="majorHAnsi"/>
                <w:sz w:val="22"/>
                <w:szCs w:val="22"/>
                <w:lang w:val="fr-FR"/>
              </w:rPr>
              <w:t>sans donner aucune définition du terme “groupe social”</w:t>
            </w:r>
            <w:r w:rsidR="00BE7803" w:rsidRPr="00F015DD">
              <w:rPr>
                <w:rFonts w:asciiTheme="majorHAnsi" w:hAnsiTheme="majorHAnsi"/>
                <w:sz w:val="22"/>
                <w:szCs w:val="22"/>
                <w:lang w:val="fr-FR"/>
              </w:rPr>
              <w:t>-</w:t>
            </w:r>
            <w:r w:rsidRPr="00F015DD">
              <w:rPr>
                <w:rFonts w:asciiTheme="majorHAnsi" w:hAnsiTheme="majorHAnsi"/>
                <w:sz w:val="22"/>
                <w:szCs w:val="22"/>
                <w:lang w:val="fr-FR"/>
              </w:rPr>
              <w:t xml:space="preserve"> </w:t>
            </w:r>
            <w:r w:rsidR="00BE7803" w:rsidRPr="00F015DD">
              <w:rPr>
                <w:rFonts w:asciiTheme="majorHAnsi" w:hAnsiTheme="majorHAnsi"/>
                <w:sz w:val="22"/>
                <w:szCs w:val="22"/>
                <w:lang w:val="fr-FR"/>
              </w:rPr>
              <w:t xml:space="preserve">qui est passible d’une peine de prison pouvant aller jusqu’à 5 ans. De nouvelles réglementations ont été également introduites et ont porté sur la distribution de </w:t>
            </w:r>
            <w:r w:rsidR="0034695E" w:rsidRPr="00F015DD">
              <w:rPr>
                <w:rFonts w:asciiTheme="majorHAnsi" w:hAnsiTheme="majorHAnsi"/>
                <w:sz w:val="22"/>
                <w:szCs w:val="22"/>
                <w:lang w:val="fr-FR"/>
              </w:rPr>
              <w:t>“</w:t>
            </w:r>
            <w:r w:rsidR="00BE7803" w:rsidRPr="00F015DD">
              <w:rPr>
                <w:rFonts w:asciiTheme="majorHAnsi" w:hAnsiTheme="majorHAnsi"/>
                <w:sz w:val="22"/>
                <w:szCs w:val="22"/>
                <w:lang w:val="fr-FR"/>
              </w:rPr>
              <w:t>contenus extrémistes”</w:t>
            </w:r>
            <w:r w:rsidR="0034695E" w:rsidRPr="00F015DD">
              <w:rPr>
                <w:rFonts w:asciiTheme="majorHAnsi" w:hAnsiTheme="majorHAnsi"/>
                <w:sz w:val="22"/>
                <w:szCs w:val="22"/>
                <w:lang w:val="fr-FR"/>
              </w:rPr>
              <w:t xml:space="preserve"> </w:t>
            </w:r>
            <w:r w:rsidR="00BE7803" w:rsidRPr="00F015DD">
              <w:rPr>
                <w:rFonts w:asciiTheme="majorHAnsi" w:hAnsiTheme="majorHAnsi"/>
                <w:sz w:val="22"/>
                <w:szCs w:val="22"/>
                <w:lang w:val="fr-FR"/>
              </w:rPr>
              <w:t>inclus dans une</w:t>
            </w:r>
            <w:r w:rsidR="0034695E" w:rsidRPr="00F015DD">
              <w:rPr>
                <w:rFonts w:asciiTheme="majorHAnsi" w:hAnsiTheme="majorHAnsi"/>
                <w:sz w:val="22"/>
                <w:szCs w:val="22"/>
                <w:lang w:val="fr-FR"/>
              </w:rPr>
              <w:t xml:space="preserve"> “</w:t>
            </w:r>
            <w:r w:rsidR="00BE7803" w:rsidRPr="00F015DD">
              <w:rPr>
                <w:rFonts w:asciiTheme="majorHAnsi" w:hAnsiTheme="majorHAnsi"/>
                <w:sz w:val="22"/>
                <w:szCs w:val="22"/>
                <w:lang w:val="fr-FR"/>
              </w:rPr>
              <w:t>liste fédérale</w:t>
            </w:r>
            <w:r w:rsidR="0034695E" w:rsidRPr="00F015DD">
              <w:rPr>
                <w:rFonts w:asciiTheme="majorHAnsi" w:hAnsiTheme="majorHAnsi"/>
                <w:sz w:val="22"/>
                <w:szCs w:val="22"/>
                <w:lang w:val="fr-FR"/>
              </w:rPr>
              <w:t xml:space="preserve">”, </w:t>
            </w:r>
            <w:r w:rsidR="00BE7803" w:rsidRPr="00F015DD">
              <w:rPr>
                <w:rFonts w:asciiTheme="majorHAnsi" w:hAnsiTheme="majorHAnsi"/>
                <w:sz w:val="22"/>
                <w:szCs w:val="22"/>
                <w:lang w:val="fr-FR"/>
              </w:rPr>
              <w:t>qui serait compilée par les autorités; ce délit est passible d’une peine de détention administrative et de la confiscation desdits contenus</w:t>
            </w:r>
            <w:r w:rsidR="0034695E" w:rsidRPr="00F015DD">
              <w:rPr>
                <w:rFonts w:asciiTheme="majorHAnsi" w:hAnsiTheme="majorHAnsi"/>
                <w:sz w:val="22"/>
                <w:szCs w:val="22"/>
                <w:lang w:val="fr-FR"/>
              </w:rPr>
              <w:t>’.</w:t>
            </w:r>
            <w:r w:rsidR="0034695E" w:rsidRPr="00F015DD">
              <w:rPr>
                <w:rStyle w:val="FootnoteReference"/>
                <w:rFonts w:asciiTheme="majorHAnsi" w:hAnsiTheme="majorHAnsi"/>
                <w:sz w:val="22"/>
                <w:szCs w:val="22"/>
                <w:lang w:val="fr-FR"/>
              </w:rPr>
              <w:footnoteReference w:id="31"/>
            </w:r>
          </w:p>
          <w:p w14:paraId="6BFFBB47" w14:textId="77777777" w:rsidR="0034695E" w:rsidRPr="00F015DD" w:rsidRDefault="0034695E" w:rsidP="002B0D7B">
            <w:pPr>
              <w:widowControl w:val="0"/>
              <w:tabs>
                <w:tab w:val="left" w:pos="220"/>
                <w:tab w:val="left" w:pos="720"/>
              </w:tabs>
              <w:autoSpaceDE w:val="0"/>
              <w:autoSpaceDN w:val="0"/>
              <w:adjustRightInd w:val="0"/>
              <w:spacing w:after="293"/>
              <w:rPr>
                <w:rFonts w:asciiTheme="majorHAnsi" w:hAnsiTheme="majorHAnsi"/>
                <w:b/>
                <w:sz w:val="22"/>
                <w:szCs w:val="22"/>
                <w:lang w:val="fr-FR"/>
              </w:rPr>
            </w:pPr>
          </w:p>
        </w:tc>
      </w:tr>
    </w:tbl>
    <w:p w14:paraId="0E8723D8" w14:textId="77777777" w:rsidR="0034695E" w:rsidRPr="00F015DD" w:rsidRDefault="0034695E" w:rsidP="00D727BE">
      <w:pPr>
        <w:widowControl w:val="0"/>
        <w:tabs>
          <w:tab w:val="left" w:pos="220"/>
          <w:tab w:val="left" w:pos="720"/>
        </w:tabs>
        <w:autoSpaceDE w:val="0"/>
        <w:autoSpaceDN w:val="0"/>
        <w:adjustRightInd w:val="0"/>
        <w:spacing w:after="293"/>
        <w:rPr>
          <w:rFonts w:asciiTheme="majorHAnsi" w:hAnsiTheme="majorHAnsi"/>
          <w:b/>
          <w:sz w:val="28"/>
          <w:szCs w:val="28"/>
          <w:u w:val="single"/>
          <w:lang w:val="fr-FR"/>
        </w:rPr>
      </w:pPr>
    </w:p>
    <w:p w14:paraId="7176CDF6" w14:textId="77777777" w:rsidR="00017F9D" w:rsidRPr="00F015DD" w:rsidRDefault="00017F9D" w:rsidP="00D727BE">
      <w:pPr>
        <w:widowControl w:val="0"/>
        <w:tabs>
          <w:tab w:val="left" w:pos="220"/>
          <w:tab w:val="left" w:pos="720"/>
        </w:tabs>
        <w:autoSpaceDE w:val="0"/>
        <w:autoSpaceDN w:val="0"/>
        <w:adjustRightInd w:val="0"/>
        <w:spacing w:after="293"/>
        <w:rPr>
          <w:rFonts w:asciiTheme="majorHAnsi" w:hAnsiTheme="majorHAnsi"/>
          <w:b/>
          <w:sz w:val="28"/>
          <w:szCs w:val="28"/>
          <w:u w:val="single"/>
          <w:lang w:val="fr-FR"/>
        </w:rPr>
      </w:pPr>
    </w:p>
    <w:p w14:paraId="75C854EB" w14:textId="77777777" w:rsidR="00017F9D" w:rsidRPr="00F015DD" w:rsidRDefault="00017F9D" w:rsidP="00D727BE">
      <w:pPr>
        <w:widowControl w:val="0"/>
        <w:tabs>
          <w:tab w:val="left" w:pos="220"/>
          <w:tab w:val="left" w:pos="720"/>
        </w:tabs>
        <w:autoSpaceDE w:val="0"/>
        <w:autoSpaceDN w:val="0"/>
        <w:adjustRightInd w:val="0"/>
        <w:spacing w:after="293"/>
        <w:rPr>
          <w:rFonts w:asciiTheme="majorHAnsi" w:hAnsiTheme="majorHAnsi"/>
          <w:b/>
          <w:sz w:val="28"/>
          <w:szCs w:val="28"/>
          <w:u w:val="single"/>
          <w:lang w:val="fr-FR"/>
        </w:rPr>
      </w:pPr>
    </w:p>
    <w:p w14:paraId="216EB3A2" w14:textId="77777777" w:rsidR="00017F9D" w:rsidRPr="00F015DD" w:rsidRDefault="00017F9D" w:rsidP="00D727BE">
      <w:pPr>
        <w:widowControl w:val="0"/>
        <w:tabs>
          <w:tab w:val="left" w:pos="220"/>
          <w:tab w:val="left" w:pos="720"/>
        </w:tabs>
        <w:autoSpaceDE w:val="0"/>
        <w:autoSpaceDN w:val="0"/>
        <w:adjustRightInd w:val="0"/>
        <w:spacing w:after="293"/>
        <w:rPr>
          <w:rFonts w:asciiTheme="majorHAnsi" w:hAnsiTheme="majorHAnsi"/>
          <w:b/>
          <w:sz w:val="28"/>
          <w:szCs w:val="28"/>
          <w:u w:val="single"/>
          <w:lang w:val="fr-FR"/>
        </w:rPr>
      </w:pPr>
    </w:p>
    <w:p w14:paraId="2EEE15DC" w14:textId="77777777" w:rsidR="00017F9D" w:rsidRPr="00F015DD" w:rsidRDefault="00017F9D" w:rsidP="00D727BE">
      <w:pPr>
        <w:widowControl w:val="0"/>
        <w:tabs>
          <w:tab w:val="left" w:pos="220"/>
          <w:tab w:val="left" w:pos="720"/>
        </w:tabs>
        <w:autoSpaceDE w:val="0"/>
        <w:autoSpaceDN w:val="0"/>
        <w:adjustRightInd w:val="0"/>
        <w:spacing w:after="293"/>
        <w:rPr>
          <w:rFonts w:asciiTheme="majorHAnsi" w:hAnsiTheme="majorHAnsi"/>
          <w:b/>
          <w:sz w:val="28"/>
          <w:szCs w:val="28"/>
          <w:u w:val="single"/>
          <w:lang w:val="fr-FR"/>
        </w:rPr>
      </w:pPr>
    </w:p>
    <w:p w14:paraId="7EC961C0" w14:textId="77777777" w:rsidR="00B20722" w:rsidRPr="00F015DD" w:rsidRDefault="000B4EBC" w:rsidP="00D727BE">
      <w:pPr>
        <w:widowControl w:val="0"/>
        <w:tabs>
          <w:tab w:val="left" w:pos="220"/>
          <w:tab w:val="left" w:pos="720"/>
        </w:tabs>
        <w:autoSpaceDE w:val="0"/>
        <w:autoSpaceDN w:val="0"/>
        <w:adjustRightInd w:val="0"/>
        <w:spacing w:after="293"/>
        <w:rPr>
          <w:rFonts w:asciiTheme="majorHAnsi" w:hAnsiTheme="majorHAnsi" w:cs="Times New Roman"/>
          <w:lang w:val="fr-FR"/>
        </w:rPr>
      </w:pPr>
      <w:r w:rsidRPr="00F015DD">
        <w:rPr>
          <w:rFonts w:asciiTheme="majorHAnsi" w:hAnsiTheme="majorHAnsi"/>
          <w:b/>
          <w:sz w:val="28"/>
          <w:szCs w:val="28"/>
          <w:u w:val="single"/>
          <w:lang w:val="fr-FR"/>
        </w:rPr>
        <w:t>I</w:t>
      </w:r>
      <w:r w:rsidR="0044104C" w:rsidRPr="00F015DD">
        <w:rPr>
          <w:rFonts w:asciiTheme="majorHAnsi" w:hAnsiTheme="majorHAnsi"/>
          <w:b/>
          <w:sz w:val="28"/>
          <w:szCs w:val="28"/>
          <w:u w:val="single"/>
          <w:lang w:val="fr-FR"/>
        </w:rPr>
        <w:t xml:space="preserve">I - </w:t>
      </w:r>
      <w:r w:rsidR="007E375C" w:rsidRPr="00F015DD">
        <w:rPr>
          <w:rFonts w:asciiTheme="majorHAnsi" w:hAnsiTheme="majorHAnsi"/>
          <w:b/>
          <w:sz w:val="28"/>
          <w:szCs w:val="28"/>
          <w:u w:val="single"/>
          <w:lang w:val="fr-FR"/>
        </w:rPr>
        <w:t>J</w:t>
      </w:r>
      <w:r w:rsidR="00F3130C" w:rsidRPr="00F015DD">
        <w:rPr>
          <w:rFonts w:asciiTheme="majorHAnsi" w:hAnsiTheme="majorHAnsi"/>
          <w:b/>
          <w:sz w:val="28"/>
          <w:szCs w:val="28"/>
          <w:u w:val="single"/>
          <w:lang w:val="fr-FR"/>
        </w:rPr>
        <w:t>URISPRUDENCE</w:t>
      </w:r>
    </w:p>
    <w:tbl>
      <w:tblPr>
        <w:tblStyle w:val="TableGrid"/>
        <w:tblW w:w="0" w:type="auto"/>
        <w:tblLook w:val="04A0" w:firstRow="1" w:lastRow="0" w:firstColumn="1" w:lastColumn="0" w:noHBand="0" w:noVBand="1"/>
      </w:tblPr>
      <w:tblGrid>
        <w:gridCol w:w="8856"/>
      </w:tblGrid>
      <w:tr w:rsidR="00656CFD" w:rsidRPr="00F015DD" w14:paraId="67839264" w14:textId="77777777" w:rsidTr="00656CFD">
        <w:tc>
          <w:tcPr>
            <w:tcW w:w="8856" w:type="dxa"/>
            <w:shd w:val="clear" w:color="auto" w:fill="BFBFBF" w:themeFill="background1" w:themeFillShade="BF"/>
          </w:tcPr>
          <w:p w14:paraId="0EB7F1DF" w14:textId="77777777" w:rsidR="00656CFD" w:rsidRPr="00F015DD" w:rsidRDefault="00BE7803" w:rsidP="00BE7803">
            <w:pPr>
              <w:widowControl w:val="0"/>
              <w:tabs>
                <w:tab w:val="left" w:pos="220"/>
                <w:tab w:val="left" w:pos="720"/>
              </w:tabs>
              <w:autoSpaceDE w:val="0"/>
              <w:autoSpaceDN w:val="0"/>
              <w:adjustRightInd w:val="0"/>
              <w:jc w:val="center"/>
              <w:rPr>
                <w:rFonts w:asciiTheme="majorHAnsi" w:hAnsiTheme="majorHAnsi"/>
                <w:b/>
                <w:sz w:val="28"/>
                <w:szCs w:val="28"/>
                <w:lang w:val="fr-FR"/>
              </w:rPr>
            </w:pPr>
            <w:r w:rsidRPr="00F015DD">
              <w:rPr>
                <w:rFonts w:asciiTheme="majorHAnsi" w:hAnsiTheme="majorHAnsi"/>
                <w:b/>
                <w:sz w:val="28"/>
                <w:szCs w:val="28"/>
                <w:lang w:val="fr-FR"/>
              </w:rPr>
              <w:t>Presse libre et sécurité nationale</w:t>
            </w:r>
          </w:p>
          <w:p w14:paraId="41C6B9E0" w14:textId="77777777" w:rsidR="00656CFD" w:rsidRPr="00F015DD" w:rsidRDefault="00656CFD" w:rsidP="00656CFD">
            <w:pPr>
              <w:widowControl w:val="0"/>
              <w:tabs>
                <w:tab w:val="left" w:pos="220"/>
                <w:tab w:val="left" w:pos="720"/>
              </w:tabs>
              <w:autoSpaceDE w:val="0"/>
              <w:autoSpaceDN w:val="0"/>
              <w:adjustRightInd w:val="0"/>
              <w:jc w:val="center"/>
              <w:rPr>
                <w:rFonts w:asciiTheme="majorHAnsi" w:hAnsiTheme="majorHAnsi"/>
                <w:b/>
                <w:sz w:val="28"/>
                <w:szCs w:val="28"/>
                <w:lang w:val="fr-FR"/>
              </w:rPr>
            </w:pPr>
          </w:p>
          <w:p w14:paraId="7FD5933F" w14:textId="77777777" w:rsidR="00656CFD" w:rsidRPr="00F015DD" w:rsidRDefault="00656CFD" w:rsidP="005921E2">
            <w:pPr>
              <w:widowControl w:val="0"/>
              <w:tabs>
                <w:tab w:val="left" w:pos="220"/>
                <w:tab w:val="left" w:pos="720"/>
              </w:tabs>
              <w:autoSpaceDE w:val="0"/>
              <w:autoSpaceDN w:val="0"/>
              <w:adjustRightInd w:val="0"/>
              <w:jc w:val="both"/>
              <w:rPr>
                <w:rFonts w:asciiTheme="majorHAnsi" w:hAnsiTheme="majorHAnsi"/>
                <w:b/>
                <w:szCs w:val="22"/>
                <w:lang w:val="fr-FR"/>
              </w:rPr>
            </w:pPr>
            <w:r w:rsidRPr="00F015DD">
              <w:rPr>
                <w:rFonts w:asciiTheme="majorHAnsi" w:hAnsiTheme="majorHAnsi"/>
                <w:b/>
                <w:i/>
                <w:szCs w:val="22"/>
                <w:lang w:val="fr-FR"/>
              </w:rPr>
              <w:t xml:space="preserve">New York Times Co. </w:t>
            </w:r>
            <w:r w:rsidR="005921E2" w:rsidRPr="00F015DD">
              <w:rPr>
                <w:rFonts w:asciiTheme="majorHAnsi" w:hAnsiTheme="majorHAnsi"/>
                <w:b/>
                <w:i/>
                <w:szCs w:val="22"/>
                <w:lang w:val="fr-FR"/>
              </w:rPr>
              <w:t>c. Etats-Unis d’Amérique</w:t>
            </w:r>
            <w:r w:rsidRPr="00F015DD">
              <w:rPr>
                <w:rFonts w:asciiTheme="majorHAnsi" w:hAnsiTheme="majorHAnsi"/>
                <w:b/>
                <w:i/>
                <w:szCs w:val="22"/>
                <w:lang w:val="fr-FR"/>
              </w:rPr>
              <w:t>,</w:t>
            </w:r>
            <w:r w:rsidRPr="00F015DD">
              <w:rPr>
                <w:rFonts w:asciiTheme="majorHAnsi" w:hAnsiTheme="majorHAnsi"/>
                <w:b/>
                <w:szCs w:val="22"/>
                <w:lang w:val="fr-FR"/>
              </w:rPr>
              <w:t xml:space="preserve"> </w:t>
            </w:r>
            <w:r w:rsidR="005921E2" w:rsidRPr="00F015DD">
              <w:rPr>
                <w:rFonts w:asciiTheme="majorHAnsi" w:hAnsiTheme="majorHAnsi"/>
                <w:b/>
                <w:szCs w:val="22"/>
                <w:lang w:val="fr-FR"/>
              </w:rPr>
              <w:t xml:space="preserve">affaire connue sous le nom de </w:t>
            </w:r>
            <w:r w:rsidRPr="00F015DD">
              <w:rPr>
                <w:rFonts w:asciiTheme="majorHAnsi" w:hAnsiTheme="majorHAnsi"/>
                <w:b/>
                <w:szCs w:val="22"/>
                <w:lang w:val="fr-FR"/>
              </w:rPr>
              <w:t>"</w:t>
            </w:r>
            <w:r w:rsidR="005921E2" w:rsidRPr="00F015DD">
              <w:rPr>
                <w:rFonts w:asciiTheme="majorHAnsi" w:hAnsiTheme="majorHAnsi"/>
                <w:b/>
                <w:szCs w:val="22"/>
                <w:lang w:val="fr-FR"/>
              </w:rPr>
              <w:t xml:space="preserve">papiers du </w:t>
            </w:r>
            <w:r w:rsidRPr="00F015DD">
              <w:rPr>
                <w:rFonts w:asciiTheme="majorHAnsi" w:hAnsiTheme="majorHAnsi"/>
                <w:b/>
                <w:szCs w:val="22"/>
                <w:lang w:val="fr-FR"/>
              </w:rPr>
              <w:t>Pentagon</w:t>
            </w:r>
            <w:r w:rsidR="00C46469" w:rsidRPr="00F015DD">
              <w:rPr>
                <w:rFonts w:asciiTheme="majorHAnsi" w:hAnsiTheme="majorHAnsi"/>
                <w:b/>
                <w:szCs w:val="22"/>
                <w:lang w:val="fr-FR"/>
              </w:rPr>
              <w:t>e</w:t>
            </w:r>
            <w:r w:rsidRPr="00F015DD">
              <w:rPr>
                <w:rFonts w:asciiTheme="majorHAnsi" w:hAnsiTheme="majorHAnsi"/>
                <w:b/>
                <w:szCs w:val="22"/>
                <w:lang w:val="fr-FR"/>
              </w:rPr>
              <w:t xml:space="preserve"> "</w:t>
            </w:r>
            <w:r w:rsidRPr="00F015DD">
              <w:rPr>
                <w:rStyle w:val="FootnoteReference"/>
                <w:rFonts w:asciiTheme="majorHAnsi" w:hAnsiTheme="majorHAnsi"/>
                <w:b/>
                <w:szCs w:val="22"/>
                <w:lang w:val="fr-FR"/>
              </w:rPr>
              <w:footnoteReference w:id="32"/>
            </w:r>
          </w:p>
          <w:p w14:paraId="3F7EE607" w14:textId="77777777" w:rsidR="00656CFD" w:rsidRPr="00F015DD" w:rsidRDefault="00656CFD" w:rsidP="00656CFD">
            <w:pPr>
              <w:widowControl w:val="0"/>
              <w:tabs>
                <w:tab w:val="left" w:pos="220"/>
                <w:tab w:val="left" w:pos="720"/>
              </w:tabs>
              <w:autoSpaceDE w:val="0"/>
              <w:autoSpaceDN w:val="0"/>
              <w:adjustRightInd w:val="0"/>
              <w:jc w:val="both"/>
              <w:rPr>
                <w:rFonts w:asciiTheme="majorHAnsi" w:hAnsiTheme="majorHAnsi" w:cs="Helvetica"/>
                <w:color w:val="1C1C1C"/>
                <w:sz w:val="22"/>
                <w:szCs w:val="22"/>
                <w:lang w:val="fr-FR"/>
              </w:rPr>
            </w:pPr>
          </w:p>
          <w:p w14:paraId="024B640D" w14:textId="77777777" w:rsidR="00656CFD" w:rsidRPr="00F015DD" w:rsidRDefault="005921E2" w:rsidP="00EA025F">
            <w:pPr>
              <w:widowControl w:val="0"/>
              <w:tabs>
                <w:tab w:val="left" w:pos="220"/>
                <w:tab w:val="left" w:pos="720"/>
              </w:tabs>
              <w:autoSpaceDE w:val="0"/>
              <w:autoSpaceDN w:val="0"/>
              <w:adjustRightInd w:val="0"/>
              <w:jc w:val="both"/>
              <w:rPr>
                <w:rFonts w:asciiTheme="majorHAnsi" w:hAnsiTheme="majorHAnsi" w:cs="Helvetica"/>
                <w:color w:val="1C1C1C"/>
                <w:sz w:val="22"/>
                <w:szCs w:val="22"/>
                <w:lang w:val="fr-FR"/>
              </w:rPr>
            </w:pPr>
            <w:r w:rsidRPr="00F015DD">
              <w:rPr>
                <w:rFonts w:asciiTheme="majorHAnsi" w:hAnsiTheme="majorHAnsi" w:cs="Helvetica"/>
                <w:color w:val="1C1C1C"/>
                <w:sz w:val="22"/>
                <w:szCs w:val="22"/>
                <w:lang w:val="fr-FR"/>
              </w:rPr>
              <w:t xml:space="preserve">Le président </w:t>
            </w:r>
            <w:r w:rsidR="00656CFD" w:rsidRPr="00F015DD">
              <w:rPr>
                <w:rFonts w:asciiTheme="majorHAnsi" w:hAnsiTheme="majorHAnsi" w:cs="Helvetica"/>
                <w:color w:val="1C1C1C"/>
                <w:sz w:val="22"/>
                <w:szCs w:val="22"/>
                <w:lang w:val="fr-FR"/>
              </w:rPr>
              <w:t xml:space="preserve">Richard Nixon </w:t>
            </w:r>
            <w:r w:rsidR="00FB2570" w:rsidRPr="00F015DD">
              <w:rPr>
                <w:rFonts w:asciiTheme="majorHAnsi" w:hAnsiTheme="majorHAnsi" w:cs="Helvetica"/>
                <w:color w:val="1C1C1C"/>
                <w:sz w:val="22"/>
                <w:szCs w:val="22"/>
                <w:lang w:val="fr-FR"/>
              </w:rPr>
              <w:t xml:space="preserve">a fait valoir ses pouvoirs à la tête de l’exécutif pour amener le </w:t>
            </w:r>
            <w:r w:rsidR="00656CFD" w:rsidRPr="00F015DD">
              <w:rPr>
                <w:rFonts w:asciiTheme="majorHAnsi" w:hAnsiTheme="majorHAnsi" w:cs="Helvetica"/>
                <w:color w:val="1C1C1C"/>
                <w:sz w:val="22"/>
                <w:szCs w:val="22"/>
                <w:lang w:val="fr-FR"/>
              </w:rPr>
              <w:t xml:space="preserve">New York </w:t>
            </w:r>
            <w:r w:rsidR="00656CFD" w:rsidRPr="00F015DD">
              <w:rPr>
                <w:rFonts w:asciiTheme="majorHAnsi" w:hAnsiTheme="majorHAnsi" w:cs="Helvetica"/>
                <w:i/>
                <w:iCs/>
                <w:color w:val="1C1C1C"/>
                <w:sz w:val="22"/>
                <w:szCs w:val="22"/>
                <w:lang w:val="fr-FR"/>
              </w:rPr>
              <w:t>Times</w:t>
            </w:r>
            <w:r w:rsidR="00656CFD" w:rsidRPr="00F015DD">
              <w:rPr>
                <w:rFonts w:asciiTheme="majorHAnsi" w:hAnsiTheme="majorHAnsi" w:cs="Helvetica"/>
                <w:color w:val="1C1C1C"/>
                <w:sz w:val="22"/>
                <w:szCs w:val="22"/>
                <w:lang w:val="fr-FR"/>
              </w:rPr>
              <w:t xml:space="preserve"> </w:t>
            </w:r>
            <w:r w:rsidR="00FB2570" w:rsidRPr="00F015DD">
              <w:rPr>
                <w:rFonts w:asciiTheme="majorHAnsi" w:hAnsiTheme="majorHAnsi" w:cs="Helvetica"/>
                <w:color w:val="1C1C1C"/>
                <w:sz w:val="22"/>
                <w:szCs w:val="22"/>
                <w:lang w:val="fr-FR"/>
              </w:rPr>
              <w:t>à arrêter la publication d’informations classées secrètes que le journal détient en sa possessi</w:t>
            </w:r>
            <w:r w:rsidR="00C46469" w:rsidRPr="00F015DD">
              <w:rPr>
                <w:rFonts w:asciiTheme="majorHAnsi" w:hAnsiTheme="majorHAnsi" w:cs="Helvetica"/>
                <w:color w:val="1C1C1C"/>
                <w:sz w:val="22"/>
                <w:szCs w:val="22"/>
                <w:lang w:val="fr-FR"/>
              </w:rPr>
              <w:t>on. La question que la cour dev</w:t>
            </w:r>
            <w:r w:rsidR="00FB2570" w:rsidRPr="00F015DD">
              <w:rPr>
                <w:rFonts w:asciiTheme="majorHAnsi" w:hAnsiTheme="majorHAnsi" w:cs="Helvetica"/>
                <w:color w:val="1C1C1C"/>
                <w:sz w:val="22"/>
                <w:szCs w:val="22"/>
                <w:lang w:val="fr-FR"/>
              </w:rPr>
              <w:t xml:space="preserve">ait traiter était de savoir si la liberté constitutionnelle de la presse garantie par le </w:t>
            </w:r>
            <w:r w:rsidR="00EA025F" w:rsidRPr="00F015DD">
              <w:rPr>
                <w:rFonts w:asciiTheme="majorHAnsi" w:hAnsiTheme="majorHAnsi" w:cs="Helvetica"/>
                <w:color w:val="1C1C1C"/>
                <w:sz w:val="22"/>
                <w:szCs w:val="22"/>
                <w:lang w:val="fr-FR"/>
              </w:rPr>
              <w:t>p</w:t>
            </w:r>
            <w:r w:rsidR="00FB2570" w:rsidRPr="00F015DD">
              <w:rPr>
                <w:rFonts w:asciiTheme="majorHAnsi" w:hAnsiTheme="majorHAnsi" w:cs="Helvetica"/>
                <w:color w:val="1C1C1C"/>
                <w:sz w:val="22"/>
                <w:szCs w:val="22"/>
                <w:lang w:val="fr-FR"/>
              </w:rPr>
              <w:t xml:space="preserve">remier </w:t>
            </w:r>
            <w:r w:rsidR="00EA025F" w:rsidRPr="00F015DD">
              <w:rPr>
                <w:rFonts w:asciiTheme="majorHAnsi" w:hAnsiTheme="majorHAnsi" w:cs="Helvetica"/>
                <w:color w:val="1C1C1C"/>
                <w:sz w:val="22"/>
                <w:szCs w:val="22"/>
                <w:lang w:val="fr-FR"/>
              </w:rPr>
              <w:t>a</w:t>
            </w:r>
            <w:r w:rsidR="00FB2570" w:rsidRPr="00F015DD">
              <w:rPr>
                <w:rFonts w:asciiTheme="majorHAnsi" w:hAnsiTheme="majorHAnsi" w:cs="Helvetica"/>
                <w:color w:val="1C1C1C"/>
                <w:sz w:val="22"/>
                <w:szCs w:val="22"/>
                <w:lang w:val="fr-FR"/>
              </w:rPr>
              <w:t xml:space="preserve">mendement était subordonnée au besoin allégué du pouvoir exécutif </w:t>
            </w:r>
            <w:r w:rsidR="006108E8" w:rsidRPr="00F015DD">
              <w:rPr>
                <w:rFonts w:asciiTheme="majorHAnsi" w:hAnsiTheme="majorHAnsi" w:cs="Helvetica"/>
                <w:color w:val="1C1C1C"/>
                <w:sz w:val="22"/>
                <w:szCs w:val="22"/>
                <w:lang w:val="fr-FR"/>
              </w:rPr>
              <w:t>de préserver la confidentialité des</w:t>
            </w:r>
            <w:r w:rsidR="00C46469" w:rsidRPr="00F015DD">
              <w:rPr>
                <w:rFonts w:asciiTheme="majorHAnsi" w:hAnsiTheme="majorHAnsi" w:cs="Helvetica"/>
                <w:color w:val="1C1C1C"/>
                <w:sz w:val="22"/>
                <w:szCs w:val="22"/>
                <w:lang w:val="fr-FR"/>
              </w:rPr>
              <w:t xml:space="preserve"> informations. La c</w:t>
            </w:r>
            <w:r w:rsidR="006108E8" w:rsidRPr="00F015DD">
              <w:rPr>
                <w:rFonts w:asciiTheme="majorHAnsi" w:hAnsiTheme="majorHAnsi" w:cs="Helvetica"/>
                <w:color w:val="1C1C1C"/>
                <w:sz w:val="22"/>
                <w:szCs w:val="22"/>
                <w:lang w:val="fr-FR"/>
              </w:rPr>
              <w:t xml:space="preserve">our suprême a statué que le </w:t>
            </w:r>
            <w:r w:rsidR="00EA025F" w:rsidRPr="00F015DD">
              <w:rPr>
                <w:rFonts w:asciiTheme="majorHAnsi" w:hAnsiTheme="majorHAnsi" w:cs="Helvetica"/>
                <w:color w:val="1C1C1C"/>
                <w:sz w:val="22"/>
                <w:szCs w:val="22"/>
                <w:lang w:val="fr-FR"/>
              </w:rPr>
              <w:t>p</w:t>
            </w:r>
            <w:r w:rsidR="006108E8" w:rsidRPr="00F015DD">
              <w:rPr>
                <w:rFonts w:asciiTheme="majorHAnsi" w:hAnsiTheme="majorHAnsi" w:cs="Helvetica"/>
                <w:color w:val="1C1C1C"/>
                <w:sz w:val="22"/>
                <w:szCs w:val="22"/>
                <w:lang w:val="fr-FR"/>
              </w:rPr>
              <w:t xml:space="preserve">remier </w:t>
            </w:r>
            <w:r w:rsidR="00EA025F" w:rsidRPr="00F015DD">
              <w:rPr>
                <w:rFonts w:asciiTheme="majorHAnsi" w:hAnsiTheme="majorHAnsi" w:cs="Helvetica"/>
                <w:color w:val="1C1C1C"/>
                <w:sz w:val="22"/>
                <w:szCs w:val="22"/>
                <w:lang w:val="fr-FR"/>
              </w:rPr>
              <w:t>a</w:t>
            </w:r>
            <w:r w:rsidR="006108E8" w:rsidRPr="00F015DD">
              <w:rPr>
                <w:rFonts w:asciiTheme="majorHAnsi" w:hAnsiTheme="majorHAnsi" w:cs="Helvetica"/>
                <w:color w:val="1C1C1C"/>
                <w:sz w:val="22"/>
                <w:szCs w:val="22"/>
                <w:lang w:val="fr-FR"/>
              </w:rPr>
              <w:t xml:space="preserve">mendement protégeait le droit du </w:t>
            </w:r>
            <w:r w:rsidR="00656CFD" w:rsidRPr="00F015DD">
              <w:rPr>
                <w:rFonts w:asciiTheme="majorHAnsi" w:hAnsiTheme="majorHAnsi" w:cs="Helvetica"/>
                <w:i/>
                <w:iCs/>
                <w:color w:val="1C1C1C"/>
                <w:sz w:val="22"/>
                <w:szCs w:val="22"/>
                <w:lang w:val="fr-FR"/>
              </w:rPr>
              <w:t>New York Times</w:t>
            </w:r>
            <w:r w:rsidR="00656CFD" w:rsidRPr="00F015DD">
              <w:rPr>
                <w:rFonts w:asciiTheme="majorHAnsi" w:hAnsiTheme="majorHAnsi" w:cs="Helvetica"/>
                <w:color w:val="1C1C1C"/>
                <w:sz w:val="22"/>
                <w:szCs w:val="22"/>
                <w:lang w:val="fr-FR"/>
              </w:rPr>
              <w:t xml:space="preserve"> </w:t>
            </w:r>
            <w:r w:rsidR="006108E8" w:rsidRPr="00F015DD">
              <w:rPr>
                <w:rFonts w:asciiTheme="majorHAnsi" w:hAnsiTheme="majorHAnsi" w:cs="Helvetica"/>
                <w:color w:val="1C1C1C"/>
                <w:sz w:val="22"/>
                <w:szCs w:val="22"/>
                <w:lang w:val="fr-FR"/>
              </w:rPr>
              <w:t xml:space="preserve">à publier les contenus dont il </w:t>
            </w:r>
            <w:r w:rsidR="006108E8" w:rsidRPr="00F015DD">
              <w:rPr>
                <w:rFonts w:asciiTheme="majorHAnsi" w:hAnsiTheme="majorHAnsi" w:cs="Helvetica"/>
                <w:color w:val="1C1C1C"/>
                <w:sz w:val="22"/>
                <w:szCs w:val="22"/>
                <w:lang w:val="fr-FR"/>
              </w:rPr>
              <w:lastRenderedPageBreak/>
              <w:t xml:space="preserve">disposait. </w:t>
            </w:r>
          </w:p>
          <w:p w14:paraId="214A0178" w14:textId="77777777" w:rsidR="00656CFD" w:rsidRPr="00F015DD" w:rsidRDefault="00656CFD" w:rsidP="00656CFD">
            <w:pPr>
              <w:widowControl w:val="0"/>
              <w:tabs>
                <w:tab w:val="left" w:pos="220"/>
                <w:tab w:val="left" w:pos="720"/>
              </w:tabs>
              <w:autoSpaceDE w:val="0"/>
              <w:autoSpaceDN w:val="0"/>
              <w:adjustRightInd w:val="0"/>
              <w:jc w:val="both"/>
              <w:rPr>
                <w:rFonts w:asciiTheme="majorHAnsi" w:hAnsiTheme="majorHAnsi" w:cs="Helvetica"/>
                <w:color w:val="1C1C1C"/>
                <w:sz w:val="22"/>
                <w:szCs w:val="22"/>
                <w:lang w:val="fr-FR"/>
              </w:rPr>
            </w:pPr>
          </w:p>
          <w:p w14:paraId="2F271BA9" w14:textId="77777777" w:rsidR="00656CFD" w:rsidRPr="00F015DD" w:rsidRDefault="002C09AF" w:rsidP="002C09AF">
            <w:pPr>
              <w:widowControl w:val="0"/>
              <w:autoSpaceDE w:val="0"/>
              <w:autoSpaceDN w:val="0"/>
              <w:adjustRightInd w:val="0"/>
              <w:rPr>
                <w:rFonts w:asciiTheme="majorHAnsi" w:hAnsiTheme="majorHAnsi" w:cs="Helvetica"/>
                <w:color w:val="1C1C1C"/>
                <w:sz w:val="22"/>
                <w:szCs w:val="22"/>
                <w:lang w:val="fr-FR"/>
              </w:rPr>
            </w:pPr>
            <w:r w:rsidRPr="00F015DD">
              <w:rPr>
                <w:rFonts w:asciiTheme="majorHAnsi" w:hAnsiTheme="majorHAnsi" w:cs="Helvetica"/>
                <w:color w:val="1C1C1C"/>
                <w:sz w:val="22"/>
                <w:szCs w:val="22"/>
                <w:lang w:val="fr-FR"/>
              </w:rPr>
              <w:t>Le juge</w:t>
            </w:r>
            <w:r w:rsidR="00656CFD" w:rsidRPr="00F015DD">
              <w:rPr>
                <w:rFonts w:asciiTheme="majorHAnsi" w:hAnsiTheme="majorHAnsi" w:cs="Helvetica"/>
                <w:color w:val="1C1C1C"/>
                <w:sz w:val="22"/>
                <w:szCs w:val="22"/>
                <w:lang w:val="fr-FR"/>
              </w:rPr>
              <w:t xml:space="preserve"> Hugo Black </w:t>
            </w:r>
            <w:r w:rsidRPr="00F015DD">
              <w:rPr>
                <w:rFonts w:asciiTheme="majorHAnsi" w:hAnsiTheme="majorHAnsi" w:cs="Helvetica"/>
                <w:color w:val="1C1C1C"/>
                <w:sz w:val="22"/>
                <w:szCs w:val="22"/>
                <w:lang w:val="fr-FR"/>
              </w:rPr>
              <w:t>a rédigé un avis qui explique la s</w:t>
            </w:r>
            <w:r w:rsidR="00C46469" w:rsidRPr="00F015DD">
              <w:rPr>
                <w:rFonts w:asciiTheme="majorHAnsi" w:hAnsiTheme="majorHAnsi" w:cs="Helvetica"/>
                <w:color w:val="1C1C1C"/>
                <w:sz w:val="22"/>
                <w:szCs w:val="22"/>
                <w:lang w:val="fr-FR"/>
              </w:rPr>
              <w:t>u</w:t>
            </w:r>
            <w:r w:rsidRPr="00F015DD">
              <w:rPr>
                <w:rFonts w:asciiTheme="majorHAnsi" w:hAnsiTheme="majorHAnsi" w:cs="Helvetica"/>
                <w:color w:val="1C1C1C"/>
                <w:sz w:val="22"/>
                <w:szCs w:val="22"/>
                <w:lang w:val="fr-FR"/>
              </w:rPr>
              <w:t xml:space="preserve">prématie absolue du </w:t>
            </w:r>
            <w:r w:rsidR="00C46469" w:rsidRPr="00F015DD">
              <w:rPr>
                <w:rFonts w:asciiTheme="majorHAnsi" w:hAnsiTheme="majorHAnsi" w:cs="Helvetica"/>
                <w:color w:val="1C1C1C"/>
                <w:sz w:val="22"/>
                <w:szCs w:val="22"/>
                <w:lang w:val="fr-FR"/>
              </w:rPr>
              <w:t>p</w:t>
            </w:r>
            <w:r w:rsidRPr="00F015DD">
              <w:rPr>
                <w:rFonts w:asciiTheme="majorHAnsi" w:hAnsiTheme="majorHAnsi" w:cs="Helvetica"/>
                <w:color w:val="1C1C1C"/>
                <w:sz w:val="22"/>
                <w:szCs w:val="22"/>
                <w:lang w:val="fr-FR"/>
              </w:rPr>
              <w:t xml:space="preserve">remier </w:t>
            </w:r>
            <w:r w:rsidR="00C46469" w:rsidRPr="00F015DD">
              <w:rPr>
                <w:rFonts w:asciiTheme="majorHAnsi" w:hAnsiTheme="majorHAnsi" w:cs="Helvetica"/>
                <w:color w:val="1C1C1C"/>
                <w:sz w:val="22"/>
                <w:szCs w:val="22"/>
                <w:lang w:val="fr-FR"/>
              </w:rPr>
              <w:t>a</w:t>
            </w:r>
            <w:r w:rsidRPr="00F015DD">
              <w:rPr>
                <w:rFonts w:asciiTheme="majorHAnsi" w:hAnsiTheme="majorHAnsi" w:cs="Helvetica"/>
                <w:color w:val="1C1C1C"/>
                <w:sz w:val="22"/>
                <w:szCs w:val="22"/>
                <w:lang w:val="fr-FR"/>
              </w:rPr>
              <w:t>mendement</w:t>
            </w:r>
            <w:r w:rsidR="00656CFD" w:rsidRPr="00F015DD">
              <w:rPr>
                <w:rFonts w:asciiTheme="majorHAnsi" w:hAnsiTheme="majorHAnsi" w:cs="Helvetica"/>
                <w:color w:val="1C1C1C"/>
                <w:sz w:val="22"/>
                <w:szCs w:val="22"/>
                <w:lang w:val="fr-FR"/>
              </w:rPr>
              <w:t>:</w:t>
            </w:r>
          </w:p>
          <w:p w14:paraId="0A5CDC51" w14:textId="77777777" w:rsidR="00656CFD" w:rsidRPr="00F015DD" w:rsidRDefault="00656CFD" w:rsidP="00656CFD">
            <w:pPr>
              <w:widowControl w:val="0"/>
              <w:tabs>
                <w:tab w:val="left" w:pos="220"/>
                <w:tab w:val="left" w:pos="720"/>
              </w:tabs>
              <w:autoSpaceDE w:val="0"/>
              <w:autoSpaceDN w:val="0"/>
              <w:adjustRightInd w:val="0"/>
              <w:jc w:val="both"/>
              <w:rPr>
                <w:rFonts w:asciiTheme="majorHAnsi" w:hAnsiTheme="majorHAnsi" w:cs="Helvetica"/>
                <w:color w:val="1C1C1C"/>
                <w:sz w:val="22"/>
                <w:szCs w:val="22"/>
                <w:lang w:val="fr-FR"/>
              </w:rPr>
            </w:pPr>
          </w:p>
          <w:p w14:paraId="277CD290" w14:textId="32C9CFF9" w:rsidR="00656CFD" w:rsidRPr="00F015DD" w:rsidRDefault="00656CFD" w:rsidP="00EA025F">
            <w:pPr>
              <w:widowControl w:val="0"/>
              <w:tabs>
                <w:tab w:val="left" w:pos="220"/>
                <w:tab w:val="left" w:pos="720"/>
              </w:tabs>
              <w:autoSpaceDE w:val="0"/>
              <w:autoSpaceDN w:val="0"/>
              <w:adjustRightInd w:val="0"/>
              <w:jc w:val="both"/>
              <w:rPr>
                <w:rFonts w:asciiTheme="majorHAnsi" w:hAnsiTheme="majorHAnsi" w:cs="Times New Roman"/>
                <w:b/>
                <w:i/>
                <w:sz w:val="22"/>
                <w:szCs w:val="22"/>
                <w:lang w:val="fr-FR"/>
              </w:rPr>
            </w:pPr>
            <w:r w:rsidRPr="00F015DD">
              <w:rPr>
                <w:rFonts w:asciiTheme="majorHAnsi" w:hAnsiTheme="majorHAnsi" w:cs="Helvetica"/>
                <w:i/>
                <w:color w:val="1C1C1C"/>
                <w:sz w:val="22"/>
                <w:szCs w:val="22"/>
                <w:lang w:val="fr-FR"/>
              </w:rPr>
              <w:t>"</w:t>
            </w:r>
            <w:r w:rsidR="002C09AF" w:rsidRPr="00F015DD">
              <w:rPr>
                <w:rFonts w:asciiTheme="majorHAnsi" w:hAnsiTheme="majorHAnsi" w:cs="Helvetica"/>
                <w:i/>
                <w:color w:val="1C1C1C"/>
                <w:sz w:val="22"/>
                <w:szCs w:val="22"/>
                <w:lang w:val="fr-FR"/>
              </w:rPr>
              <w:t>Seule une presse libre et non restreinte peut exposer de manière efficace la tromperie dans le gouvernement. Parmi les responsabilités qui incombe</w:t>
            </w:r>
            <w:r w:rsidR="00DB35B4" w:rsidRPr="00F015DD">
              <w:rPr>
                <w:rFonts w:asciiTheme="majorHAnsi" w:hAnsiTheme="majorHAnsi" w:cs="Helvetica"/>
                <w:i/>
                <w:color w:val="1C1C1C"/>
                <w:sz w:val="22"/>
                <w:szCs w:val="22"/>
                <w:lang w:val="fr-FR"/>
              </w:rPr>
              <w:t>nt</w:t>
            </w:r>
            <w:r w:rsidR="002C09AF" w:rsidRPr="00F015DD">
              <w:rPr>
                <w:rFonts w:asciiTheme="majorHAnsi" w:hAnsiTheme="majorHAnsi" w:cs="Helvetica"/>
                <w:i/>
                <w:color w:val="1C1C1C"/>
                <w:sz w:val="22"/>
                <w:szCs w:val="22"/>
                <w:lang w:val="fr-FR"/>
              </w:rPr>
              <w:t xml:space="preserve"> à une presse libre </w:t>
            </w:r>
            <w:r w:rsidR="00DB35B4" w:rsidRPr="00F015DD">
              <w:rPr>
                <w:rFonts w:asciiTheme="majorHAnsi" w:hAnsiTheme="majorHAnsi" w:cs="Helvetica"/>
                <w:i/>
                <w:color w:val="1C1C1C"/>
                <w:sz w:val="22"/>
                <w:szCs w:val="22"/>
                <w:lang w:val="fr-FR"/>
              </w:rPr>
              <w:t>figure son devoir primordial d’empêcher qu’une quelconque partie du gouvernement ne dupe les citoyens et ne les envoie dans des pays lointains pour mourir de maladies inconnu</w:t>
            </w:r>
            <w:r w:rsidR="005918F5" w:rsidRPr="00F015DD">
              <w:rPr>
                <w:rFonts w:asciiTheme="majorHAnsi" w:hAnsiTheme="majorHAnsi" w:cs="Helvetica"/>
                <w:i/>
                <w:color w:val="1C1C1C"/>
                <w:sz w:val="22"/>
                <w:szCs w:val="22"/>
                <w:lang w:val="fr-FR"/>
              </w:rPr>
              <w:t>e</w:t>
            </w:r>
            <w:r w:rsidR="00DB35B4" w:rsidRPr="00F015DD">
              <w:rPr>
                <w:rFonts w:asciiTheme="majorHAnsi" w:hAnsiTheme="majorHAnsi" w:cs="Helvetica"/>
                <w:i/>
                <w:color w:val="1C1C1C"/>
                <w:sz w:val="22"/>
                <w:szCs w:val="22"/>
                <w:lang w:val="fr-FR"/>
              </w:rPr>
              <w:t xml:space="preserve">s et sous des obus étrangers  </w:t>
            </w:r>
            <w:r w:rsidRPr="00F015DD">
              <w:rPr>
                <w:rFonts w:asciiTheme="majorHAnsi" w:hAnsiTheme="majorHAnsi" w:cs="Helvetica"/>
                <w:i/>
                <w:color w:val="1C1C1C"/>
                <w:sz w:val="22"/>
                <w:szCs w:val="22"/>
                <w:lang w:val="fr-FR"/>
              </w:rPr>
              <w:t xml:space="preserve">... </w:t>
            </w:r>
            <w:r w:rsidR="00B801C7">
              <w:rPr>
                <w:rFonts w:asciiTheme="majorHAnsi" w:hAnsiTheme="majorHAnsi" w:cs="Helvetica"/>
                <w:i/>
                <w:color w:val="1C1C1C"/>
                <w:sz w:val="22"/>
                <w:szCs w:val="22"/>
                <w:lang w:val="fr-FR"/>
              </w:rPr>
              <w:t xml:space="preserve">On nous demande </w:t>
            </w:r>
            <w:r w:rsidR="00895A91" w:rsidRPr="00F015DD">
              <w:rPr>
                <w:rFonts w:asciiTheme="majorHAnsi" w:hAnsiTheme="majorHAnsi" w:cs="Helvetica"/>
                <w:i/>
                <w:color w:val="1C1C1C"/>
                <w:sz w:val="22"/>
                <w:szCs w:val="22"/>
                <w:lang w:val="fr-FR"/>
              </w:rPr>
              <w:t>de</w:t>
            </w:r>
            <w:r w:rsidR="00C21127">
              <w:rPr>
                <w:rFonts w:asciiTheme="majorHAnsi" w:hAnsiTheme="majorHAnsi" w:cs="Helvetica"/>
                <w:i/>
                <w:color w:val="1C1C1C"/>
                <w:sz w:val="22"/>
                <w:szCs w:val="22"/>
                <w:lang w:val="fr-FR"/>
              </w:rPr>
              <w:t xml:space="preserve"> soutenir</w:t>
            </w:r>
            <w:r w:rsidR="00895A91" w:rsidRPr="00F015DD">
              <w:rPr>
                <w:rFonts w:asciiTheme="majorHAnsi" w:hAnsiTheme="majorHAnsi" w:cs="Helvetica"/>
                <w:i/>
                <w:color w:val="1C1C1C"/>
                <w:sz w:val="22"/>
                <w:szCs w:val="22"/>
                <w:lang w:val="fr-FR"/>
              </w:rPr>
              <w:t xml:space="preserve"> </w:t>
            </w:r>
            <w:r w:rsidR="00EC7CC0" w:rsidRPr="00F015DD">
              <w:rPr>
                <w:rFonts w:asciiTheme="majorHAnsi" w:hAnsiTheme="majorHAnsi" w:cs="Helvetica"/>
                <w:i/>
                <w:color w:val="1C1C1C"/>
                <w:sz w:val="22"/>
                <w:szCs w:val="22"/>
                <w:lang w:val="fr-FR"/>
              </w:rPr>
              <w:t>que</w:t>
            </w:r>
            <w:r w:rsidRPr="00F015DD">
              <w:rPr>
                <w:rFonts w:asciiTheme="majorHAnsi" w:hAnsiTheme="majorHAnsi" w:cs="Helvetica"/>
                <w:i/>
                <w:color w:val="1C1C1C"/>
                <w:sz w:val="22"/>
                <w:szCs w:val="22"/>
                <w:lang w:val="fr-FR"/>
              </w:rPr>
              <w:t xml:space="preserve">... </w:t>
            </w:r>
            <w:r w:rsidR="00EC7CC0" w:rsidRPr="00F015DD">
              <w:rPr>
                <w:rFonts w:asciiTheme="majorHAnsi" w:hAnsiTheme="majorHAnsi" w:cs="Helvetica"/>
                <w:i/>
                <w:color w:val="1C1C1C"/>
                <w:sz w:val="22"/>
                <w:szCs w:val="22"/>
                <w:lang w:val="fr-FR"/>
              </w:rPr>
              <w:t xml:space="preserve">le pouvoir exécutif, le Congrès et l’appareil judiciaire </w:t>
            </w:r>
            <w:r w:rsidR="005918F5" w:rsidRPr="00F015DD">
              <w:rPr>
                <w:rFonts w:asciiTheme="majorHAnsi" w:hAnsiTheme="majorHAnsi" w:cs="Helvetica"/>
                <w:i/>
                <w:color w:val="1C1C1C"/>
                <w:sz w:val="22"/>
                <w:szCs w:val="22"/>
                <w:lang w:val="fr-FR"/>
              </w:rPr>
              <w:t>sont</w:t>
            </w:r>
            <w:r w:rsidR="00EC7CC0" w:rsidRPr="00F015DD">
              <w:rPr>
                <w:rFonts w:asciiTheme="majorHAnsi" w:hAnsiTheme="majorHAnsi" w:cs="Helvetica"/>
                <w:i/>
                <w:color w:val="1C1C1C"/>
                <w:sz w:val="22"/>
                <w:szCs w:val="22"/>
                <w:lang w:val="fr-FR"/>
              </w:rPr>
              <w:t xml:space="preserve"> en mesure de faire des lois</w:t>
            </w:r>
            <w:r w:rsidRPr="00F015DD">
              <w:rPr>
                <w:rFonts w:asciiTheme="majorHAnsi" w:hAnsiTheme="majorHAnsi" w:cs="Helvetica"/>
                <w:i/>
                <w:color w:val="1C1C1C"/>
                <w:sz w:val="22"/>
                <w:szCs w:val="22"/>
                <w:lang w:val="fr-FR"/>
              </w:rPr>
              <w:t xml:space="preserve">... </w:t>
            </w:r>
            <w:r w:rsidR="00EC7CC0" w:rsidRPr="00F015DD">
              <w:rPr>
                <w:rFonts w:asciiTheme="majorHAnsi" w:hAnsiTheme="majorHAnsi" w:cs="Helvetica"/>
                <w:i/>
                <w:color w:val="1C1C1C"/>
                <w:sz w:val="22"/>
                <w:szCs w:val="22"/>
                <w:lang w:val="fr-FR"/>
              </w:rPr>
              <w:t xml:space="preserve">qui restreignent la liberté de presse au nom de </w:t>
            </w:r>
            <w:r w:rsidR="008C53A9" w:rsidRPr="00F015DD">
              <w:rPr>
                <w:rFonts w:asciiTheme="majorHAnsi" w:hAnsiTheme="majorHAnsi" w:cs="Helvetica"/>
                <w:i/>
                <w:color w:val="1C1C1C"/>
                <w:sz w:val="22"/>
                <w:szCs w:val="22"/>
                <w:lang w:val="fr-FR"/>
              </w:rPr>
              <w:t xml:space="preserve">la “sécurité nationale”. </w:t>
            </w:r>
            <w:r w:rsidRPr="00F015DD">
              <w:rPr>
                <w:rFonts w:asciiTheme="majorHAnsi" w:hAnsiTheme="majorHAnsi" w:cs="Helvetica"/>
                <w:i/>
                <w:color w:val="1C1C1C"/>
                <w:sz w:val="22"/>
                <w:szCs w:val="22"/>
                <w:lang w:val="fr-FR"/>
              </w:rPr>
              <w:t xml:space="preserve">... </w:t>
            </w:r>
            <w:r w:rsidR="005918F5" w:rsidRPr="00F015DD">
              <w:rPr>
                <w:rFonts w:asciiTheme="majorHAnsi" w:hAnsiTheme="majorHAnsi" w:cs="Helvetica"/>
                <w:i/>
                <w:color w:val="000000" w:themeColor="text1"/>
                <w:sz w:val="22"/>
                <w:szCs w:val="22"/>
                <w:lang w:val="fr-FR"/>
              </w:rPr>
              <w:t>De</w:t>
            </w:r>
            <w:r w:rsidR="00C21127">
              <w:rPr>
                <w:rFonts w:asciiTheme="majorHAnsi" w:hAnsiTheme="majorHAnsi" w:cs="Helvetica"/>
                <w:i/>
                <w:color w:val="000000" w:themeColor="text1"/>
                <w:sz w:val="22"/>
                <w:szCs w:val="22"/>
                <w:lang w:val="fr-FR"/>
              </w:rPr>
              <w:t xml:space="preserve"> trouver</w:t>
            </w:r>
            <w:r w:rsidR="00CB74B1">
              <w:rPr>
                <w:rFonts w:asciiTheme="majorHAnsi" w:hAnsiTheme="majorHAnsi" w:cs="Helvetica"/>
                <w:i/>
                <w:color w:val="000000" w:themeColor="text1"/>
                <w:sz w:val="22"/>
                <w:szCs w:val="22"/>
                <w:lang w:val="fr-FR"/>
              </w:rPr>
              <w:t xml:space="preserve"> </w:t>
            </w:r>
            <w:r w:rsidR="005918F5" w:rsidRPr="00F015DD">
              <w:rPr>
                <w:rFonts w:asciiTheme="majorHAnsi" w:hAnsiTheme="majorHAnsi" w:cs="Helvetica"/>
                <w:i/>
                <w:color w:val="000000" w:themeColor="text1"/>
                <w:sz w:val="22"/>
                <w:szCs w:val="22"/>
                <w:lang w:val="fr-FR"/>
              </w:rPr>
              <w:t>que</w:t>
            </w:r>
            <w:r w:rsidRPr="00F015DD">
              <w:rPr>
                <w:rFonts w:asciiTheme="majorHAnsi" w:hAnsiTheme="majorHAnsi" w:cs="Helvetica"/>
                <w:i/>
                <w:color w:val="1C1C1C"/>
                <w:sz w:val="22"/>
                <w:szCs w:val="22"/>
                <w:lang w:val="fr-FR"/>
              </w:rPr>
              <w:t xml:space="preserve"> </w:t>
            </w:r>
            <w:r w:rsidR="008C53A9" w:rsidRPr="00F015DD">
              <w:rPr>
                <w:rFonts w:asciiTheme="majorHAnsi" w:hAnsiTheme="majorHAnsi" w:cs="Helvetica"/>
                <w:i/>
                <w:color w:val="1C1C1C"/>
                <w:sz w:val="22"/>
                <w:szCs w:val="22"/>
                <w:lang w:val="fr-FR"/>
              </w:rPr>
              <w:t xml:space="preserve">le président a </w:t>
            </w:r>
            <w:r w:rsidRPr="00F015DD">
              <w:rPr>
                <w:rFonts w:asciiTheme="majorHAnsi" w:hAnsiTheme="majorHAnsi" w:cs="Helvetica"/>
                <w:i/>
                <w:color w:val="1C1C1C"/>
                <w:sz w:val="22"/>
                <w:szCs w:val="22"/>
                <w:lang w:val="fr-FR"/>
              </w:rPr>
              <w:t>'</w:t>
            </w:r>
            <w:r w:rsidR="008C53A9" w:rsidRPr="00F015DD">
              <w:rPr>
                <w:rFonts w:asciiTheme="majorHAnsi" w:hAnsiTheme="majorHAnsi" w:cs="Helvetica"/>
                <w:i/>
                <w:color w:val="1C1C1C"/>
                <w:sz w:val="22"/>
                <w:szCs w:val="22"/>
                <w:lang w:val="fr-FR"/>
              </w:rPr>
              <w:t xml:space="preserve"> le pouvoir inhérent</w:t>
            </w:r>
            <w:r w:rsidRPr="00F015DD">
              <w:rPr>
                <w:rFonts w:asciiTheme="majorHAnsi" w:hAnsiTheme="majorHAnsi" w:cs="Helvetica"/>
                <w:i/>
                <w:color w:val="1C1C1C"/>
                <w:sz w:val="22"/>
                <w:szCs w:val="22"/>
                <w:lang w:val="fr-FR"/>
              </w:rPr>
              <w:t xml:space="preserve">' </w:t>
            </w:r>
            <w:r w:rsidR="008C53A9" w:rsidRPr="00F015DD">
              <w:rPr>
                <w:rFonts w:asciiTheme="majorHAnsi" w:hAnsiTheme="majorHAnsi" w:cs="Helvetica"/>
                <w:i/>
                <w:color w:val="1C1C1C"/>
                <w:sz w:val="22"/>
                <w:szCs w:val="22"/>
                <w:lang w:val="fr-FR"/>
              </w:rPr>
              <w:t xml:space="preserve">pour arrêter la publication d’informations </w:t>
            </w:r>
            <w:r w:rsidRPr="00F015DD">
              <w:rPr>
                <w:rFonts w:asciiTheme="majorHAnsi" w:hAnsiTheme="majorHAnsi" w:cs="Helvetica"/>
                <w:i/>
                <w:color w:val="1C1C1C"/>
                <w:sz w:val="22"/>
                <w:szCs w:val="22"/>
                <w:lang w:val="fr-FR"/>
              </w:rPr>
              <w:t xml:space="preserve">... </w:t>
            </w:r>
            <w:r w:rsidR="005918F5" w:rsidRPr="00F015DD">
              <w:rPr>
                <w:rFonts w:asciiTheme="majorHAnsi" w:hAnsiTheme="majorHAnsi" w:cs="Helvetica"/>
                <w:i/>
                <w:color w:val="1C1C1C"/>
                <w:sz w:val="22"/>
                <w:szCs w:val="22"/>
                <w:lang w:val="fr-FR"/>
              </w:rPr>
              <w:t>ce qui re</w:t>
            </w:r>
            <w:r w:rsidR="008C53A9" w:rsidRPr="00F015DD">
              <w:rPr>
                <w:rFonts w:asciiTheme="majorHAnsi" w:hAnsiTheme="majorHAnsi" w:cs="Helvetica"/>
                <w:i/>
                <w:color w:val="1C1C1C"/>
                <w:sz w:val="22"/>
                <w:szCs w:val="22"/>
                <w:lang w:val="fr-FR"/>
              </w:rPr>
              <w:t>viendrait à détruire les droits fondamentaux à la liberté et à la sécurité des mêmes citoyens que le Gouvernement espère “sécuriser”.</w:t>
            </w:r>
            <w:r w:rsidRPr="00F015DD">
              <w:rPr>
                <w:rFonts w:asciiTheme="majorHAnsi" w:hAnsiTheme="majorHAnsi" w:cs="Helvetica"/>
                <w:i/>
                <w:color w:val="1C1C1C"/>
                <w:sz w:val="22"/>
                <w:szCs w:val="22"/>
                <w:lang w:val="fr-FR"/>
              </w:rPr>
              <w:t xml:space="preserve"> ... </w:t>
            </w:r>
            <w:r w:rsidR="008C53A9" w:rsidRPr="00F015DD">
              <w:rPr>
                <w:rFonts w:asciiTheme="majorHAnsi" w:hAnsiTheme="majorHAnsi" w:cs="Helvetica"/>
                <w:i/>
                <w:color w:val="1C1C1C"/>
                <w:sz w:val="22"/>
                <w:szCs w:val="22"/>
                <w:lang w:val="fr-FR"/>
              </w:rPr>
              <w:t xml:space="preserve">Le terme “sécurité” est vaste et implique une généralité vague dont les contours ne devraient pas être invoqués pour abroger </w:t>
            </w:r>
            <w:r w:rsidR="00EA025F" w:rsidRPr="00F015DD">
              <w:rPr>
                <w:rFonts w:asciiTheme="majorHAnsi" w:hAnsiTheme="majorHAnsi" w:cs="Helvetica"/>
                <w:i/>
                <w:color w:val="1C1C1C"/>
                <w:sz w:val="22"/>
                <w:szCs w:val="22"/>
                <w:lang w:val="fr-FR"/>
              </w:rPr>
              <w:t>la loi fondamentale visée dans le premier amendement</w:t>
            </w:r>
            <w:r w:rsidRPr="00F015DD">
              <w:rPr>
                <w:rFonts w:asciiTheme="majorHAnsi" w:hAnsiTheme="majorHAnsi" w:cs="Helvetica"/>
                <w:i/>
                <w:color w:val="1C1C1C"/>
                <w:sz w:val="22"/>
                <w:szCs w:val="22"/>
                <w:lang w:val="fr-FR"/>
              </w:rPr>
              <w:t xml:space="preserve">. </w:t>
            </w:r>
            <w:r w:rsidR="00EA025F" w:rsidRPr="00F015DD">
              <w:rPr>
                <w:rFonts w:asciiTheme="majorHAnsi" w:hAnsiTheme="majorHAnsi" w:cs="Helvetica"/>
                <w:i/>
                <w:color w:val="1C1C1C"/>
                <w:sz w:val="22"/>
                <w:szCs w:val="22"/>
                <w:lang w:val="fr-FR"/>
              </w:rPr>
              <w:t>Garder des secrets militaires et diplomatiques au détriment d’un gouvernement représentatif éclairé ne consti</w:t>
            </w:r>
            <w:r w:rsidR="005918F5" w:rsidRPr="00F015DD">
              <w:rPr>
                <w:rFonts w:asciiTheme="majorHAnsi" w:hAnsiTheme="majorHAnsi" w:cs="Helvetica"/>
                <w:i/>
                <w:color w:val="1C1C1C"/>
                <w:sz w:val="22"/>
                <w:szCs w:val="22"/>
                <w:lang w:val="fr-FR"/>
              </w:rPr>
              <w:t xml:space="preserve">tue pas une réelle sécurité </w:t>
            </w:r>
            <w:proofErr w:type="gramStart"/>
            <w:r w:rsidRPr="00F015DD">
              <w:rPr>
                <w:rFonts w:asciiTheme="majorHAnsi" w:hAnsiTheme="majorHAnsi" w:cs="Helvetica"/>
                <w:i/>
                <w:color w:val="1C1C1C"/>
                <w:sz w:val="22"/>
                <w:szCs w:val="22"/>
                <w:lang w:val="fr-FR"/>
              </w:rPr>
              <w:t>...</w:t>
            </w:r>
            <w:r w:rsidRPr="00F015DD">
              <w:rPr>
                <w:rFonts w:asciiTheme="majorHAnsi" w:hAnsiTheme="majorHAnsi" w:cs="Helvetica"/>
                <w:i/>
                <w:color w:val="092F9D"/>
                <w:sz w:val="22"/>
                <w:szCs w:val="22"/>
                <w:vertAlign w:val="superscript"/>
                <w:lang w:val="fr-FR"/>
              </w:rPr>
              <w:t>[</w:t>
            </w:r>
            <w:proofErr w:type="gramEnd"/>
            <w:r w:rsidRPr="00F015DD">
              <w:rPr>
                <w:rFonts w:asciiTheme="majorHAnsi" w:hAnsiTheme="majorHAnsi" w:cs="Helvetica"/>
                <w:i/>
                <w:color w:val="092F9D"/>
                <w:sz w:val="22"/>
                <w:szCs w:val="22"/>
                <w:vertAlign w:val="superscript"/>
                <w:lang w:val="fr-FR"/>
              </w:rPr>
              <w:t>7]”</w:t>
            </w:r>
          </w:p>
          <w:p w14:paraId="7AA6AE8F" w14:textId="77777777" w:rsidR="00656CFD" w:rsidRPr="00F015DD" w:rsidRDefault="00656CFD" w:rsidP="00656CFD">
            <w:pPr>
              <w:jc w:val="both"/>
              <w:rPr>
                <w:rFonts w:asciiTheme="majorHAnsi" w:hAnsiTheme="majorHAnsi"/>
                <w:b/>
                <w:sz w:val="28"/>
                <w:szCs w:val="28"/>
                <w:lang w:val="fr-FR"/>
              </w:rPr>
            </w:pPr>
          </w:p>
        </w:tc>
      </w:tr>
    </w:tbl>
    <w:p w14:paraId="3D93FCA4" w14:textId="77777777" w:rsidR="00656CFD" w:rsidRPr="00F015DD" w:rsidRDefault="00656CFD" w:rsidP="00320F8B">
      <w:pPr>
        <w:jc w:val="both"/>
        <w:rPr>
          <w:rFonts w:asciiTheme="majorHAnsi" w:hAnsiTheme="majorHAnsi"/>
          <w:b/>
          <w:sz w:val="28"/>
          <w:szCs w:val="28"/>
          <w:lang w:val="fr-FR"/>
        </w:rPr>
      </w:pPr>
    </w:p>
    <w:p w14:paraId="714FF225" w14:textId="77777777" w:rsidR="00B107FC" w:rsidRPr="00F015DD" w:rsidRDefault="00B107FC" w:rsidP="00EA025F">
      <w:pPr>
        <w:jc w:val="both"/>
        <w:rPr>
          <w:rFonts w:asciiTheme="majorHAnsi" w:hAnsiTheme="majorHAnsi"/>
          <w:b/>
          <w:sz w:val="28"/>
          <w:szCs w:val="28"/>
          <w:lang w:val="fr-FR"/>
        </w:rPr>
      </w:pPr>
      <w:r w:rsidRPr="00F015DD">
        <w:rPr>
          <w:rFonts w:asciiTheme="majorHAnsi" w:hAnsiTheme="majorHAnsi"/>
          <w:b/>
          <w:sz w:val="28"/>
          <w:szCs w:val="28"/>
          <w:lang w:val="fr-FR"/>
        </w:rPr>
        <w:t xml:space="preserve">Test </w:t>
      </w:r>
      <w:r w:rsidR="00EA025F" w:rsidRPr="00F015DD">
        <w:rPr>
          <w:rFonts w:asciiTheme="majorHAnsi" w:hAnsiTheme="majorHAnsi"/>
          <w:b/>
          <w:sz w:val="28"/>
          <w:szCs w:val="28"/>
          <w:lang w:val="fr-FR"/>
        </w:rPr>
        <w:t xml:space="preserve">de la nécessité et de la proportionnalité </w:t>
      </w:r>
      <w:r w:rsidRPr="00F015DD">
        <w:rPr>
          <w:rFonts w:asciiTheme="majorHAnsi" w:hAnsiTheme="majorHAnsi"/>
          <w:b/>
          <w:sz w:val="28"/>
          <w:szCs w:val="28"/>
          <w:lang w:val="fr-FR"/>
        </w:rPr>
        <w:t xml:space="preserve"> </w:t>
      </w:r>
    </w:p>
    <w:p w14:paraId="23097C17" w14:textId="77777777" w:rsidR="00B107FC" w:rsidRPr="00F015DD" w:rsidRDefault="00B107FC" w:rsidP="00320F8B">
      <w:pPr>
        <w:jc w:val="both"/>
        <w:rPr>
          <w:rFonts w:asciiTheme="majorHAnsi" w:hAnsiTheme="majorHAnsi"/>
          <w:b/>
          <w:i/>
          <w:lang w:val="fr-FR"/>
        </w:rPr>
      </w:pPr>
    </w:p>
    <w:p w14:paraId="3DEA4191" w14:textId="77777777" w:rsidR="0047018F" w:rsidRPr="00F015DD" w:rsidRDefault="00EA025F" w:rsidP="0003035C">
      <w:pPr>
        <w:jc w:val="both"/>
        <w:rPr>
          <w:rFonts w:asciiTheme="majorHAnsi" w:hAnsiTheme="majorHAnsi"/>
          <w:b/>
          <w:i/>
          <w:lang w:val="fr-FR"/>
        </w:rPr>
      </w:pPr>
      <w:r w:rsidRPr="00F015DD">
        <w:rPr>
          <w:rFonts w:asciiTheme="majorHAnsi" w:hAnsiTheme="majorHAnsi"/>
          <w:b/>
          <w:i/>
          <w:lang w:val="fr-FR"/>
        </w:rPr>
        <w:t>Cour européenne des droits de l’homme</w:t>
      </w:r>
      <w:r w:rsidR="00806429" w:rsidRPr="00F015DD">
        <w:rPr>
          <w:rFonts w:asciiTheme="majorHAnsi" w:hAnsiTheme="majorHAnsi"/>
          <w:b/>
          <w:i/>
          <w:lang w:val="fr-FR"/>
        </w:rPr>
        <w:t xml:space="preserve">, </w:t>
      </w:r>
      <w:proofErr w:type="spellStart"/>
      <w:r w:rsidR="00801E58" w:rsidRPr="00F015DD">
        <w:rPr>
          <w:rFonts w:asciiTheme="majorHAnsi" w:hAnsiTheme="majorHAnsi"/>
          <w:b/>
          <w:i/>
          <w:lang w:val="fr-FR"/>
        </w:rPr>
        <w:t>Okçuoğlu</w:t>
      </w:r>
      <w:proofErr w:type="spellEnd"/>
      <w:r w:rsidR="00806429" w:rsidRPr="00F015DD">
        <w:rPr>
          <w:rFonts w:asciiTheme="majorHAnsi" w:hAnsiTheme="majorHAnsi"/>
          <w:b/>
          <w:i/>
          <w:lang w:val="fr-FR"/>
        </w:rPr>
        <w:t xml:space="preserve"> </w:t>
      </w:r>
      <w:r w:rsidR="0003035C" w:rsidRPr="00F015DD">
        <w:rPr>
          <w:rFonts w:asciiTheme="majorHAnsi" w:hAnsiTheme="majorHAnsi"/>
          <w:b/>
          <w:i/>
          <w:lang w:val="fr-FR"/>
        </w:rPr>
        <w:t>c</w:t>
      </w:r>
      <w:r w:rsidR="00806429" w:rsidRPr="00F015DD">
        <w:rPr>
          <w:rFonts w:asciiTheme="majorHAnsi" w:hAnsiTheme="majorHAnsi"/>
          <w:b/>
          <w:i/>
          <w:lang w:val="fr-FR"/>
        </w:rPr>
        <w:t>. Tur</w:t>
      </w:r>
      <w:r w:rsidRPr="00F015DD">
        <w:rPr>
          <w:rFonts w:asciiTheme="majorHAnsi" w:hAnsiTheme="majorHAnsi"/>
          <w:b/>
          <w:i/>
          <w:lang w:val="fr-FR"/>
        </w:rPr>
        <w:t>quie</w:t>
      </w:r>
      <w:r w:rsidR="00806429" w:rsidRPr="00F015DD">
        <w:rPr>
          <w:rStyle w:val="FootnoteReference"/>
          <w:rFonts w:asciiTheme="majorHAnsi" w:hAnsiTheme="majorHAnsi"/>
          <w:b/>
          <w:i/>
          <w:lang w:val="fr-FR"/>
        </w:rPr>
        <w:footnoteReference w:id="33"/>
      </w:r>
    </w:p>
    <w:p w14:paraId="5EE22EE4" w14:textId="77777777" w:rsidR="00801E58" w:rsidRPr="00F015DD" w:rsidRDefault="00EA025F" w:rsidP="003752AE">
      <w:pPr>
        <w:jc w:val="both"/>
        <w:rPr>
          <w:rFonts w:asciiTheme="majorHAnsi" w:hAnsiTheme="majorHAnsi"/>
          <w:sz w:val="22"/>
          <w:szCs w:val="22"/>
          <w:lang w:val="fr-FR"/>
        </w:rPr>
      </w:pPr>
      <w:r w:rsidRPr="00F015DD">
        <w:rPr>
          <w:rFonts w:asciiTheme="majorHAnsi" w:hAnsiTheme="majorHAnsi"/>
          <w:sz w:val="22"/>
          <w:szCs w:val="22"/>
          <w:lang w:val="fr-FR"/>
        </w:rPr>
        <w:t>M</w:t>
      </w:r>
      <w:r w:rsidR="00806429" w:rsidRPr="00F015DD">
        <w:rPr>
          <w:rFonts w:asciiTheme="majorHAnsi" w:hAnsiTheme="majorHAnsi"/>
          <w:sz w:val="22"/>
          <w:szCs w:val="22"/>
          <w:lang w:val="fr-FR"/>
        </w:rPr>
        <w:t xml:space="preserve">. </w:t>
      </w:r>
      <w:proofErr w:type="spellStart"/>
      <w:r w:rsidR="00806429" w:rsidRPr="00F015DD">
        <w:rPr>
          <w:rFonts w:asciiTheme="majorHAnsi" w:hAnsiTheme="majorHAnsi"/>
          <w:sz w:val="22"/>
          <w:szCs w:val="22"/>
          <w:lang w:val="fr-FR"/>
        </w:rPr>
        <w:t>Okcuiglu</w:t>
      </w:r>
      <w:proofErr w:type="spellEnd"/>
      <w:r w:rsidR="00806429" w:rsidRPr="00F015DD">
        <w:rPr>
          <w:rFonts w:asciiTheme="majorHAnsi" w:hAnsiTheme="majorHAnsi"/>
          <w:sz w:val="22"/>
          <w:szCs w:val="22"/>
          <w:lang w:val="fr-FR"/>
        </w:rPr>
        <w:t xml:space="preserve"> </w:t>
      </w:r>
      <w:r w:rsidR="003752AE" w:rsidRPr="00F015DD">
        <w:rPr>
          <w:rFonts w:asciiTheme="majorHAnsi" w:hAnsiTheme="majorHAnsi"/>
          <w:sz w:val="22"/>
          <w:szCs w:val="22"/>
          <w:lang w:val="fr-FR"/>
        </w:rPr>
        <w:t>a participé à une table ronde</w:t>
      </w:r>
      <w:r w:rsidR="00801E58" w:rsidRPr="00F015DD">
        <w:rPr>
          <w:rFonts w:asciiTheme="majorHAnsi" w:hAnsiTheme="majorHAnsi"/>
          <w:sz w:val="22"/>
          <w:szCs w:val="22"/>
          <w:lang w:val="fr-FR"/>
        </w:rPr>
        <w:t>.</w:t>
      </w:r>
      <w:r w:rsidR="00801E58" w:rsidRPr="00F015DD">
        <w:rPr>
          <w:rStyle w:val="FootnoteReference"/>
          <w:rFonts w:asciiTheme="majorHAnsi" w:hAnsiTheme="majorHAnsi"/>
          <w:i/>
          <w:sz w:val="22"/>
          <w:szCs w:val="22"/>
          <w:lang w:val="fr-FR"/>
        </w:rPr>
        <w:t xml:space="preserve"> </w:t>
      </w:r>
      <w:r w:rsidR="00801E58" w:rsidRPr="00F015DD">
        <w:rPr>
          <w:rStyle w:val="FootnoteReference"/>
          <w:rFonts w:asciiTheme="majorHAnsi" w:hAnsiTheme="majorHAnsi"/>
          <w:i/>
          <w:sz w:val="22"/>
          <w:szCs w:val="22"/>
          <w:lang w:val="fr-FR"/>
        </w:rPr>
        <w:footnoteReference w:id="34"/>
      </w:r>
      <w:r w:rsidR="00801E58" w:rsidRPr="00F015DD">
        <w:rPr>
          <w:rFonts w:asciiTheme="majorHAnsi" w:hAnsiTheme="majorHAnsi"/>
          <w:sz w:val="22"/>
          <w:szCs w:val="22"/>
          <w:lang w:val="fr-FR"/>
        </w:rPr>
        <w:t xml:space="preserve"> </w:t>
      </w:r>
      <w:r w:rsidR="003752AE" w:rsidRPr="00F015DD">
        <w:rPr>
          <w:rFonts w:asciiTheme="majorHAnsi" w:hAnsiTheme="majorHAnsi"/>
          <w:sz w:val="22"/>
          <w:szCs w:val="22"/>
          <w:lang w:val="fr-FR"/>
        </w:rPr>
        <w:t xml:space="preserve">Ses observations ont ensuite été publiées dans un article sous le titre de </w:t>
      </w:r>
      <w:r w:rsidR="00801E58" w:rsidRPr="00F015DD">
        <w:rPr>
          <w:rFonts w:asciiTheme="majorHAnsi" w:hAnsiTheme="majorHAnsi"/>
          <w:sz w:val="22"/>
          <w:szCs w:val="22"/>
          <w:lang w:val="fr-FR"/>
        </w:rPr>
        <w:t>"</w:t>
      </w:r>
      <w:r w:rsidR="003752AE" w:rsidRPr="00F015DD">
        <w:rPr>
          <w:rFonts w:asciiTheme="majorHAnsi" w:hAnsiTheme="majorHAnsi"/>
          <w:sz w:val="22"/>
          <w:szCs w:val="22"/>
          <w:lang w:val="fr-FR"/>
        </w:rPr>
        <w:t>Passé et présent du problème kurde</w:t>
      </w:r>
      <w:r w:rsidR="00801E58" w:rsidRPr="00F015DD">
        <w:rPr>
          <w:rFonts w:asciiTheme="majorHAnsi" w:hAnsiTheme="majorHAnsi"/>
          <w:sz w:val="22"/>
          <w:szCs w:val="22"/>
          <w:lang w:val="fr-FR"/>
        </w:rPr>
        <w:t xml:space="preserve">." </w:t>
      </w:r>
      <w:r w:rsidR="003752AE" w:rsidRPr="00F015DD">
        <w:rPr>
          <w:rFonts w:asciiTheme="majorHAnsi" w:hAnsiTheme="majorHAnsi"/>
          <w:sz w:val="22"/>
          <w:szCs w:val="22"/>
          <w:lang w:val="fr-FR"/>
        </w:rPr>
        <w:t xml:space="preserve">Il a été emprisonné à cause de ces observations puis a été </w:t>
      </w:r>
      <w:r w:rsidR="00C46469" w:rsidRPr="00F015DD">
        <w:rPr>
          <w:rFonts w:asciiTheme="majorHAnsi" w:hAnsiTheme="majorHAnsi"/>
          <w:sz w:val="22"/>
          <w:szCs w:val="22"/>
          <w:lang w:val="fr-FR"/>
        </w:rPr>
        <w:t>condamné</w:t>
      </w:r>
      <w:r w:rsidR="003752AE" w:rsidRPr="00F015DD">
        <w:rPr>
          <w:rFonts w:asciiTheme="majorHAnsi" w:hAnsiTheme="majorHAnsi"/>
          <w:sz w:val="22"/>
          <w:szCs w:val="22"/>
          <w:lang w:val="fr-FR"/>
        </w:rPr>
        <w:t xml:space="preserve"> à payer une amende en vertu d’une loi portant sur la protection de la sécurité nationale et la prévention des troubles publics. </w:t>
      </w:r>
    </w:p>
    <w:p w14:paraId="262DCB27" w14:textId="77777777" w:rsidR="00801E58" w:rsidRPr="00F015DD" w:rsidRDefault="00801E58" w:rsidP="00320F8B">
      <w:pPr>
        <w:jc w:val="both"/>
        <w:rPr>
          <w:rFonts w:asciiTheme="majorHAnsi" w:hAnsiTheme="majorHAnsi"/>
          <w:sz w:val="22"/>
          <w:szCs w:val="22"/>
          <w:lang w:val="fr-FR"/>
        </w:rPr>
      </w:pPr>
    </w:p>
    <w:p w14:paraId="45D76757" w14:textId="77777777" w:rsidR="00320F8B" w:rsidRPr="00F015DD" w:rsidRDefault="003752AE" w:rsidP="00864117">
      <w:pPr>
        <w:widowControl w:val="0"/>
        <w:autoSpaceDE w:val="0"/>
        <w:autoSpaceDN w:val="0"/>
        <w:adjustRightInd w:val="0"/>
        <w:jc w:val="both"/>
        <w:rPr>
          <w:rFonts w:asciiTheme="majorHAnsi" w:hAnsiTheme="majorHAnsi" w:cs="Verdana"/>
          <w:color w:val="171717"/>
          <w:sz w:val="22"/>
          <w:szCs w:val="22"/>
          <w:lang w:val="fr-FR"/>
        </w:rPr>
      </w:pPr>
      <w:r w:rsidRPr="00F015DD">
        <w:rPr>
          <w:rFonts w:asciiTheme="majorHAnsi" w:hAnsiTheme="majorHAnsi" w:cs="Verdana"/>
          <w:color w:val="171717"/>
          <w:sz w:val="22"/>
          <w:szCs w:val="22"/>
          <w:lang w:val="fr-FR"/>
        </w:rPr>
        <w:t xml:space="preserve">La Cour européenne </w:t>
      </w:r>
      <w:r w:rsidR="008D295F" w:rsidRPr="00F015DD">
        <w:rPr>
          <w:rFonts w:asciiTheme="majorHAnsi" w:hAnsiTheme="majorHAnsi" w:cs="Verdana"/>
          <w:color w:val="171717"/>
          <w:sz w:val="22"/>
          <w:szCs w:val="22"/>
          <w:lang w:val="fr-FR"/>
        </w:rPr>
        <w:t xml:space="preserve">a estimé que l’ingérence par l’autorité publique dans le droit à la liberté d’expression du requérant était prévue par la loi et qu’une telle ingérence avait un but légitime qu’est la protection de la sécurité nationale et l’intégrité </w:t>
      </w:r>
      <w:r w:rsidR="00864117" w:rsidRPr="00F015DD">
        <w:rPr>
          <w:rFonts w:asciiTheme="majorHAnsi" w:hAnsiTheme="majorHAnsi" w:cs="Verdana"/>
          <w:color w:val="171717"/>
          <w:sz w:val="22"/>
          <w:szCs w:val="22"/>
          <w:lang w:val="fr-FR"/>
        </w:rPr>
        <w:t xml:space="preserve">territoriale de l’Etat et </w:t>
      </w:r>
      <w:r w:rsidR="00C46469" w:rsidRPr="00F015DD">
        <w:rPr>
          <w:rFonts w:asciiTheme="majorHAnsi" w:hAnsiTheme="majorHAnsi" w:cs="Verdana"/>
          <w:color w:val="171717"/>
          <w:sz w:val="22"/>
          <w:szCs w:val="22"/>
          <w:lang w:val="fr-FR"/>
        </w:rPr>
        <w:t>la</w:t>
      </w:r>
      <w:r w:rsidR="00864117" w:rsidRPr="00F015DD">
        <w:rPr>
          <w:rFonts w:asciiTheme="majorHAnsi" w:hAnsiTheme="majorHAnsi" w:cs="Verdana"/>
          <w:color w:val="171717"/>
          <w:sz w:val="22"/>
          <w:szCs w:val="22"/>
          <w:lang w:val="fr-FR"/>
        </w:rPr>
        <w:t xml:space="preserve"> prévention de trouble et de crime. </w:t>
      </w:r>
    </w:p>
    <w:p w14:paraId="73A45C14" w14:textId="77777777" w:rsidR="00320F8B" w:rsidRPr="00F015DD" w:rsidRDefault="00320F8B" w:rsidP="00320F8B">
      <w:pPr>
        <w:widowControl w:val="0"/>
        <w:autoSpaceDE w:val="0"/>
        <w:autoSpaceDN w:val="0"/>
        <w:adjustRightInd w:val="0"/>
        <w:rPr>
          <w:rFonts w:asciiTheme="majorHAnsi" w:hAnsiTheme="majorHAnsi" w:cs="Verdana"/>
          <w:color w:val="171717"/>
          <w:sz w:val="22"/>
          <w:szCs w:val="22"/>
          <w:lang w:val="fr-FR"/>
        </w:rPr>
      </w:pPr>
    </w:p>
    <w:p w14:paraId="036D658D" w14:textId="77777777" w:rsidR="00320F8B" w:rsidRPr="00F015DD" w:rsidRDefault="00864117" w:rsidP="00864117">
      <w:pPr>
        <w:widowControl w:val="0"/>
        <w:autoSpaceDE w:val="0"/>
        <w:autoSpaceDN w:val="0"/>
        <w:adjustRightInd w:val="0"/>
        <w:jc w:val="both"/>
        <w:rPr>
          <w:rFonts w:asciiTheme="majorHAnsi" w:hAnsiTheme="majorHAnsi" w:cs="Verdana"/>
          <w:color w:val="171717"/>
          <w:sz w:val="22"/>
          <w:szCs w:val="22"/>
          <w:lang w:val="fr-FR"/>
        </w:rPr>
      </w:pPr>
      <w:r w:rsidRPr="00F015DD">
        <w:rPr>
          <w:rFonts w:asciiTheme="majorHAnsi" w:hAnsiTheme="majorHAnsi" w:cs="Verdana"/>
          <w:color w:val="171717"/>
          <w:sz w:val="22"/>
          <w:szCs w:val="22"/>
          <w:lang w:val="fr-FR"/>
        </w:rPr>
        <w:t xml:space="preserve">Néanmoins, la Cour européenne n’a jugé l’ingérence </w:t>
      </w:r>
      <w:r w:rsidR="005918F5" w:rsidRPr="00F015DD">
        <w:rPr>
          <w:rFonts w:asciiTheme="majorHAnsi" w:hAnsiTheme="majorHAnsi" w:cs="Verdana"/>
          <w:color w:val="171717"/>
          <w:sz w:val="22"/>
          <w:szCs w:val="22"/>
          <w:lang w:val="fr-FR"/>
        </w:rPr>
        <w:t xml:space="preserve">ni </w:t>
      </w:r>
      <w:r w:rsidRPr="00F015DD">
        <w:rPr>
          <w:rFonts w:asciiTheme="majorHAnsi" w:hAnsiTheme="majorHAnsi" w:cs="Verdana"/>
          <w:color w:val="171717"/>
          <w:sz w:val="22"/>
          <w:szCs w:val="22"/>
          <w:lang w:val="fr-FR"/>
        </w:rPr>
        <w:t>nécessaire ni proportionnelle</w:t>
      </w:r>
      <w:r w:rsidR="00320F8B" w:rsidRPr="00F015DD">
        <w:rPr>
          <w:rFonts w:asciiTheme="majorHAnsi" w:hAnsiTheme="majorHAnsi" w:cs="Verdana"/>
          <w:color w:val="171717"/>
          <w:sz w:val="22"/>
          <w:szCs w:val="22"/>
          <w:lang w:val="fr-FR"/>
        </w:rPr>
        <w:t xml:space="preserve">. </w:t>
      </w:r>
    </w:p>
    <w:p w14:paraId="16DD967C" w14:textId="77777777" w:rsidR="008D3A17" w:rsidRPr="00F015DD" w:rsidRDefault="008D3A17" w:rsidP="00320F8B">
      <w:pPr>
        <w:jc w:val="both"/>
        <w:rPr>
          <w:rFonts w:asciiTheme="majorHAnsi" w:hAnsiTheme="majorHAnsi"/>
          <w:sz w:val="22"/>
          <w:szCs w:val="22"/>
          <w:lang w:val="fr-FR"/>
        </w:rPr>
      </w:pPr>
    </w:p>
    <w:p w14:paraId="4DE2D8BB" w14:textId="0CA1B598" w:rsidR="00801E58" w:rsidRPr="00F015DD" w:rsidRDefault="00864117" w:rsidP="00864117">
      <w:pPr>
        <w:jc w:val="both"/>
        <w:rPr>
          <w:rFonts w:asciiTheme="majorHAnsi" w:hAnsiTheme="majorHAnsi"/>
          <w:sz w:val="22"/>
          <w:szCs w:val="22"/>
          <w:lang w:val="fr-FR"/>
        </w:rPr>
      </w:pPr>
      <w:r w:rsidRPr="00F015DD">
        <w:rPr>
          <w:rFonts w:asciiTheme="majorHAnsi" w:hAnsiTheme="majorHAnsi"/>
          <w:sz w:val="22"/>
          <w:szCs w:val="22"/>
          <w:lang w:val="fr-FR"/>
        </w:rPr>
        <w:t>Afin de déterminer si les restrictions étaient nécessaires, il a été procédé à l’examen des mots utilisés et du contexte</w:t>
      </w:r>
      <w:r w:rsidR="00801E58" w:rsidRPr="00F015DD">
        <w:rPr>
          <w:rFonts w:asciiTheme="majorHAnsi" w:hAnsiTheme="majorHAnsi"/>
          <w:sz w:val="22"/>
          <w:szCs w:val="22"/>
          <w:lang w:val="fr-FR"/>
        </w:rPr>
        <w:t xml:space="preserve">. </w:t>
      </w:r>
      <w:r w:rsidR="00CB74B1">
        <w:rPr>
          <w:rFonts w:asciiTheme="majorHAnsi" w:hAnsiTheme="majorHAnsi"/>
          <w:sz w:val="22"/>
          <w:szCs w:val="22"/>
          <w:lang w:val="fr-FR"/>
        </w:rPr>
        <w:t>L</w:t>
      </w:r>
      <w:r w:rsidRPr="00F015DD">
        <w:rPr>
          <w:rFonts w:asciiTheme="majorHAnsi" w:hAnsiTheme="majorHAnsi"/>
          <w:sz w:val="22"/>
          <w:szCs w:val="22"/>
          <w:lang w:val="fr-FR"/>
        </w:rPr>
        <w:t xml:space="preserve">a Cour a relevé </w:t>
      </w:r>
      <w:r w:rsidR="00801E58" w:rsidRPr="00F015DD">
        <w:rPr>
          <w:rFonts w:asciiTheme="majorHAnsi" w:hAnsiTheme="majorHAnsi"/>
          <w:sz w:val="22"/>
          <w:szCs w:val="22"/>
          <w:lang w:val="fr-FR"/>
        </w:rPr>
        <w:t>"</w:t>
      </w:r>
      <w:r w:rsidRPr="00F015DD">
        <w:rPr>
          <w:rFonts w:asciiTheme="majorHAnsi" w:hAnsiTheme="majorHAnsi"/>
          <w:sz w:val="22"/>
          <w:szCs w:val="22"/>
          <w:lang w:val="fr-FR"/>
        </w:rPr>
        <w:t xml:space="preserve">la sensibilité de la situation sécuritaire dans le sud-est de la Turquie </w:t>
      </w:r>
      <w:r w:rsidR="00801E58" w:rsidRPr="00F015DD">
        <w:rPr>
          <w:rFonts w:asciiTheme="majorHAnsi" w:hAnsiTheme="majorHAnsi"/>
          <w:sz w:val="22"/>
          <w:szCs w:val="22"/>
          <w:lang w:val="fr-FR"/>
        </w:rPr>
        <w:t xml:space="preserve">" </w:t>
      </w:r>
      <w:r w:rsidRPr="00F015DD">
        <w:rPr>
          <w:rFonts w:asciiTheme="majorHAnsi" w:hAnsiTheme="majorHAnsi"/>
          <w:sz w:val="22"/>
          <w:szCs w:val="22"/>
          <w:lang w:val="fr-FR"/>
        </w:rPr>
        <w:t>et les c</w:t>
      </w:r>
      <w:r w:rsidR="00CB74B1">
        <w:rPr>
          <w:rFonts w:asciiTheme="majorHAnsi" w:hAnsiTheme="majorHAnsi"/>
          <w:sz w:val="22"/>
          <w:szCs w:val="22"/>
          <w:lang w:val="fr-FR"/>
        </w:rPr>
        <w:t>r</w:t>
      </w:r>
      <w:r w:rsidRPr="00F015DD">
        <w:rPr>
          <w:rFonts w:asciiTheme="majorHAnsi" w:hAnsiTheme="majorHAnsi"/>
          <w:sz w:val="22"/>
          <w:szCs w:val="22"/>
          <w:lang w:val="fr-FR"/>
        </w:rPr>
        <w:t>aintes du gouvernement de voir les observations</w:t>
      </w:r>
      <w:r w:rsidR="00C46469" w:rsidRPr="00F015DD">
        <w:rPr>
          <w:rFonts w:asciiTheme="majorHAnsi" w:hAnsiTheme="majorHAnsi"/>
          <w:sz w:val="22"/>
          <w:szCs w:val="22"/>
          <w:lang w:val="fr-FR"/>
        </w:rPr>
        <w:t xml:space="preserve"> en question</w:t>
      </w:r>
      <w:r w:rsidRPr="00F015DD">
        <w:rPr>
          <w:rFonts w:asciiTheme="majorHAnsi" w:hAnsiTheme="majorHAnsi"/>
          <w:sz w:val="22"/>
          <w:szCs w:val="22"/>
          <w:lang w:val="fr-FR"/>
        </w:rPr>
        <w:t xml:space="preserve"> “exacerber les graves troubles</w:t>
      </w:r>
      <w:r w:rsidR="00801E58" w:rsidRPr="00F015DD">
        <w:rPr>
          <w:rFonts w:asciiTheme="majorHAnsi" w:hAnsiTheme="majorHAnsi"/>
          <w:sz w:val="22"/>
          <w:szCs w:val="22"/>
          <w:lang w:val="fr-FR"/>
        </w:rPr>
        <w:t xml:space="preserve">." </w:t>
      </w:r>
    </w:p>
    <w:p w14:paraId="12A154EE" w14:textId="77777777" w:rsidR="00320F8B" w:rsidRPr="00F015DD" w:rsidRDefault="00320F8B" w:rsidP="00320F8B">
      <w:pPr>
        <w:jc w:val="both"/>
        <w:rPr>
          <w:rFonts w:asciiTheme="majorHAnsi" w:hAnsiTheme="majorHAnsi"/>
          <w:sz w:val="22"/>
          <w:szCs w:val="22"/>
          <w:lang w:val="fr-FR"/>
        </w:rPr>
      </w:pPr>
    </w:p>
    <w:p w14:paraId="5243DD84" w14:textId="77777777" w:rsidR="00B107FC" w:rsidRPr="00F015DD" w:rsidRDefault="00864117" w:rsidP="00864117">
      <w:pPr>
        <w:jc w:val="both"/>
        <w:rPr>
          <w:rFonts w:asciiTheme="majorHAnsi" w:hAnsiTheme="majorHAnsi" w:cs="Verdana"/>
          <w:color w:val="171717"/>
          <w:sz w:val="22"/>
          <w:szCs w:val="22"/>
          <w:lang w:val="fr-FR"/>
        </w:rPr>
      </w:pPr>
      <w:r w:rsidRPr="00F015DD">
        <w:rPr>
          <w:rFonts w:asciiTheme="majorHAnsi" w:hAnsiTheme="majorHAnsi" w:cs="Verdana"/>
          <w:color w:val="171717"/>
          <w:sz w:val="22"/>
          <w:szCs w:val="22"/>
          <w:lang w:val="fr-FR"/>
        </w:rPr>
        <w:t xml:space="preserve">La Cour a jugé que l’ingérence était disproportionnelle aux buts poursuivis et ce pour les raisons suivantes: </w:t>
      </w:r>
    </w:p>
    <w:p w14:paraId="1095ED7E" w14:textId="77777777" w:rsidR="00B107FC" w:rsidRPr="00F015DD" w:rsidRDefault="0003035C" w:rsidP="0003035C">
      <w:pPr>
        <w:pStyle w:val="ListParagraph"/>
        <w:numPr>
          <w:ilvl w:val="0"/>
          <w:numId w:val="18"/>
        </w:numPr>
        <w:jc w:val="both"/>
        <w:rPr>
          <w:rFonts w:asciiTheme="majorHAnsi" w:hAnsiTheme="majorHAnsi"/>
          <w:sz w:val="22"/>
          <w:szCs w:val="22"/>
          <w:lang w:val="fr-FR"/>
        </w:rPr>
      </w:pPr>
      <w:r w:rsidRPr="00F015DD">
        <w:rPr>
          <w:rFonts w:asciiTheme="majorHAnsi" w:hAnsiTheme="majorHAnsi" w:cs="Verdana"/>
          <w:color w:val="171717"/>
          <w:sz w:val="22"/>
          <w:szCs w:val="22"/>
          <w:lang w:val="fr-FR"/>
        </w:rPr>
        <w:lastRenderedPageBreak/>
        <w:t xml:space="preserve">Les observations faites par le requérant lors d’une table ronde ont été publiées dans un </w:t>
      </w:r>
      <w:r w:rsidRPr="00F015DD">
        <w:rPr>
          <w:rFonts w:asciiTheme="majorHAnsi" w:hAnsiTheme="majorHAnsi" w:cs="Verdana"/>
          <w:color w:val="171717"/>
          <w:sz w:val="22"/>
          <w:szCs w:val="22"/>
          <w:u w:val="single"/>
          <w:lang w:val="fr-FR"/>
        </w:rPr>
        <w:t>périodique à tirage limité</w:t>
      </w:r>
      <w:r w:rsidR="00C46469" w:rsidRPr="00F015DD">
        <w:rPr>
          <w:rFonts w:asciiTheme="majorHAnsi" w:hAnsiTheme="majorHAnsi" w:cs="Verdana"/>
          <w:color w:val="171717"/>
          <w:sz w:val="22"/>
          <w:szCs w:val="22"/>
          <w:u w:val="single"/>
          <w:lang w:val="fr-FR"/>
        </w:rPr>
        <w:t xml:space="preserve"> </w:t>
      </w:r>
      <w:r w:rsidRPr="00F015DD">
        <w:rPr>
          <w:rFonts w:asciiTheme="majorHAnsi" w:hAnsiTheme="majorHAnsi" w:cs="Verdana"/>
          <w:color w:val="171717"/>
          <w:sz w:val="22"/>
          <w:szCs w:val="22"/>
          <w:lang w:val="fr-FR"/>
        </w:rPr>
        <w:t xml:space="preserve"> </w:t>
      </w:r>
      <w:r w:rsidR="00B107FC" w:rsidRPr="00F015DD">
        <w:rPr>
          <w:rFonts w:asciiTheme="majorHAnsi" w:hAnsiTheme="majorHAnsi" w:cs="Verdana"/>
          <w:color w:val="171717"/>
          <w:sz w:val="22"/>
          <w:szCs w:val="22"/>
          <w:lang w:val="fr-FR"/>
        </w:rPr>
        <w:t>“</w:t>
      </w:r>
      <w:r w:rsidRPr="00F015DD">
        <w:rPr>
          <w:rFonts w:asciiTheme="majorHAnsi" w:hAnsiTheme="majorHAnsi" w:cs="Verdana"/>
          <w:color w:val="171717"/>
          <w:sz w:val="22"/>
          <w:szCs w:val="22"/>
          <w:lang w:val="fr-FR"/>
        </w:rPr>
        <w:t>ce qui réduit de manière significative leur impact éventuel sur la “sécurité nationale”, “l’ordre public” ou “l’intégrité territoriale”</w:t>
      </w:r>
      <w:r w:rsidR="00B107FC" w:rsidRPr="00F015DD">
        <w:rPr>
          <w:rStyle w:val="FootnoteReference"/>
          <w:rFonts w:asciiTheme="majorHAnsi" w:hAnsiTheme="majorHAnsi"/>
          <w:sz w:val="22"/>
          <w:szCs w:val="22"/>
          <w:lang w:val="fr-FR"/>
        </w:rPr>
        <w:footnoteReference w:id="35"/>
      </w:r>
    </w:p>
    <w:p w14:paraId="62C4BAC3" w14:textId="77777777" w:rsidR="00B107FC" w:rsidRPr="00F015DD" w:rsidRDefault="0003035C" w:rsidP="0003035C">
      <w:pPr>
        <w:pStyle w:val="ListParagraph"/>
        <w:numPr>
          <w:ilvl w:val="0"/>
          <w:numId w:val="17"/>
        </w:numPr>
        <w:jc w:val="both"/>
        <w:rPr>
          <w:rFonts w:asciiTheme="majorHAnsi" w:hAnsiTheme="majorHAnsi" w:cs="Verdana"/>
          <w:color w:val="171717"/>
          <w:sz w:val="22"/>
          <w:szCs w:val="22"/>
          <w:lang w:val="fr-FR"/>
        </w:rPr>
      </w:pPr>
      <w:r w:rsidRPr="00F015DD">
        <w:rPr>
          <w:rFonts w:asciiTheme="majorHAnsi" w:hAnsiTheme="majorHAnsi" w:cs="Verdana"/>
          <w:color w:val="171717"/>
          <w:sz w:val="22"/>
          <w:szCs w:val="22"/>
          <w:lang w:val="fr-FR"/>
        </w:rPr>
        <w:t>Certaines observations étaient négative</w:t>
      </w:r>
      <w:r w:rsidR="00C46469" w:rsidRPr="00F015DD">
        <w:rPr>
          <w:rFonts w:asciiTheme="majorHAnsi" w:hAnsiTheme="majorHAnsi" w:cs="Verdana"/>
          <w:color w:val="171717"/>
          <w:sz w:val="22"/>
          <w:szCs w:val="22"/>
          <w:lang w:val="fr-FR"/>
        </w:rPr>
        <w:t>s</w:t>
      </w:r>
      <w:r w:rsidRPr="00F015DD">
        <w:rPr>
          <w:rFonts w:asciiTheme="majorHAnsi" w:hAnsiTheme="majorHAnsi" w:cs="Verdana"/>
          <w:color w:val="171717"/>
          <w:sz w:val="22"/>
          <w:szCs w:val="22"/>
          <w:lang w:val="fr-FR"/>
        </w:rPr>
        <w:t xml:space="preserve"> vis-à-vis de ceux qui sont d’origine turque mais elles ne constituent pas pour autant une incitation à s’engager dans la violence, la rési</w:t>
      </w:r>
      <w:r w:rsidR="00C46469" w:rsidRPr="00F015DD">
        <w:rPr>
          <w:rFonts w:asciiTheme="majorHAnsi" w:hAnsiTheme="majorHAnsi" w:cs="Verdana"/>
          <w:color w:val="171717"/>
          <w:sz w:val="22"/>
          <w:szCs w:val="22"/>
          <w:lang w:val="fr-FR"/>
        </w:rPr>
        <w:t>s</w:t>
      </w:r>
      <w:r w:rsidRPr="00F015DD">
        <w:rPr>
          <w:rFonts w:asciiTheme="majorHAnsi" w:hAnsiTheme="majorHAnsi" w:cs="Verdana"/>
          <w:color w:val="171717"/>
          <w:sz w:val="22"/>
          <w:szCs w:val="22"/>
          <w:lang w:val="fr-FR"/>
        </w:rPr>
        <w:t xml:space="preserve">tance armée ou l’insurrection; et </w:t>
      </w:r>
    </w:p>
    <w:p w14:paraId="303DA953" w14:textId="6938D916" w:rsidR="00320F8B" w:rsidRPr="00F015DD" w:rsidRDefault="00C46469" w:rsidP="0003035C">
      <w:pPr>
        <w:pStyle w:val="ListParagraph"/>
        <w:numPr>
          <w:ilvl w:val="0"/>
          <w:numId w:val="17"/>
        </w:numPr>
        <w:jc w:val="both"/>
        <w:rPr>
          <w:rFonts w:asciiTheme="majorHAnsi" w:hAnsiTheme="majorHAnsi"/>
          <w:sz w:val="22"/>
          <w:szCs w:val="22"/>
          <w:lang w:val="fr-FR"/>
        </w:rPr>
      </w:pPr>
      <w:r w:rsidRPr="00F015DD">
        <w:rPr>
          <w:rFonts w:asciiTheme="majorHAnsi" w:hAnsiTheme="majorHAnsi" w:cs="Verdana"/>
          <w:color w:val="171717"/>
          <w:sz w:val="22"/>
          <w:szCs w:val="22"/>
          <w:lang w:val="fr-FR"/>
        </w:rPr>
        <w:t>L</w:t>
      </w:r>
      <w:r w:rsidR="0003035C" w:rsidRPr="00F015DD">
        <w:rPr>
          <w:rFonts w:asciiTheme="majorHAnsi" w:hAnsiTheme="majorHAnsi" w:cs="Verdana"/>
          <w:color w:val="171717"/>
          <w:sz w:val="22"/>
          <w:szCs w:val="22"/>
          <w:lang w:val="fr-FR"/>
        </w:rPr>
        <w:t xml:space="preserve">a condamnation </w:t>
      </w:r>
      <w:r w:rsidR="00CB74B1">
        <w:rPr>
          <w:rFonts w:asciiTheme="majorHAnsi" w:hAnsiTheme="majorHAnsi" w:cs="Verdana"/>
          <w:color w:val="171717"/>
          <w:sz w:val="22"/>
          <w:szCs w:val="22"/>
          <w:lang w:val="fr-FR"/>
        </w:rPr>
        <w:t>était</w:t>
      </w:r>
      <w:r w:rsidR="0003035C" w:rsidRPr="00F015DD">
        <w:rPr>
          <w:rFonts w:asciiTheme="majorHAnsi" w:hAnsiTheme="majorHAnsi" w:cs="Verdana"/>
          <w:color w:val="171717"/>
          <w:sz w:val="22"/>
          <w:szCs w:val="22"/>
          <w:lang w:val="fr-FR"/>
        </w:rPr>
        <w:t xml:space="preserve"> trop lourde par rapport aux buts poursuivis</w:t>
      </w:r>
      <w:r w:rsidR="00320F8B" w:rsidRPr="00F015DD">
        <w:rPr>
          <w:rFonts w:asciiTheme="majorHAnsi" w:hAnsiTheme="majorHAnsi" w:cs="Verdana"/>
          <w:color w:val="171717"/>
          <w:sz w:val="22"/>
          <w:szCs w:val="22"/>
          <w:lang w:val="fr-FR"/>
        </w:rPr>
        <w:t>.</w:t>
      </w:r>
    </w:p>
    <w:p w14:paraId="4895B0DD" w14:textId="77777777" w:rsidR="00801E58" w:rsidRPr="00F015DD" w:rsidRDefault="00801E58" w:rsidP="00320F8B">
      <w:pPr>
        <w:jc w:val="both"/>
        <w:rPr>
          <w:rFonts w:asciiTheme="majorHAnsi" w:hAnsiTheme="majorHAnsi"/>
          <w:szCs w:val="22"/>
          <w:lang w:val="fr-FR"/>
        </w:rPr>
      </w:pPr>
    </w:p>
    <w:p w14:paraId="31AEF4B7" w14:textId="77777777" w:rsidR="00801E58" w:rsidRPr="00F015DD" w:rsidRDefault="00A769A0" w:rsidP="00A769A0">
      <w:pPr>
        <w:jc w:val="both"/>
        <w:rPr>
          <w:rFonts w:asciiTheme="majorHAnsi" w:hAnsiTheme="majorHAnsi"/>
          <w:b/>
          <w:szCs w:val="22"/>
          <w:lang w:val="fr-FR"/>
        </w:rPr>
      </w:pPr>
      <w:r w:rsidRPr="00F015DD">
        <w:rPr>
          <w:rFonts w:asciiTheme="majorHAnsi" w:hAnsiTheme="majorHAnsi"/>
          <w:b/>
          <w:i/>
          <w:lang w:val="fr-FR"/>
        </w:rPr>
        <w:t>Cour européenne des droits de l’homme</w:t>
      </w:r>
      <w:r w:rsidR="00F7590C" w:rsidRPr="00F015DD">
        <w:rPr>
          <w:rFonts w:asciiTheme="majorHAnsi" w:hAnsiTheme="majorHAnsi"/>
          <w:b/>
          <w:i/>
          <w:szCs w:val="22"/>
          <w:lang w:val="fr-FR"/>
        </w:rPr>
        <w:t xml:space="preserve">, </w:t>
      </w:r>
      <w:r w:rsidR="00801E58" w:rsidRPr="00F015DD">
        <w:rPr>
          <w:rFonts w:asciiTheme="majorHAnsi" w:hAnsiTheme="majorHAnsi"/>
          <w:b/>
          <w:i/>
          <w:szCs w:val="22"/>
          <w:lang w:val="fr-FR"/>
        </w:rPr>
        <w:t xml:space="preserve">The Observer </w:t>
      </w:r>
      <w:r w:rsidRPr="00F015DD">
        <w:rPr>
          <w:rFonts w:asciiTheme="majorHAnsi" w:hAnsiTheme="majorHAnsi"/>
          <w:b/>
          <w:i/>
          <w:szCs w:val="22"/>
          <w:lang w:val="fr-FR"/>
        </w:rPr>
        <w:t>et</w:t>
      </w:r>
      <w:r w:rsidR="00801E58" w:rsidRPr="00F015DD">
        <w:rPr>
          <w:rFonts w:asciiTheme="majorHAnsi" w:hAnsiTheme="majorHAnsi"/>
          <w:b/>
          <w:i/>
          <w:szCs w:val="22"/>
          <w:lang w:val="fr-FR"/>
        </w:rPr>
        <w:t xml:space="preserve"> Guardian </w:t>
      </w:r>
      <w:r w:rsidRPr="00F015DD">
        <w:rPr>
          <w:rFonts w:asciiTheme="majorHAnsi" w:hAnsiTheme="majorHAnsi"/>
          <w:b/>
          <w:i/>
          <w:szCs w:val="22"/>
          <w:lang w:val="fr-FR"/>
        </w:rPr>
        <w:t>c</w:t>
      </w:r>
      <w:r w:rsidR="00801E58" w:rsidRPr="00F015DD">
        <w:rPr>
          <w:rFonts w:asciiTheme="majorHAnsi" w:hAnsiTheme="majorHAnsi"/>
          <w:b/>
          <w:i/>
          <w:szCs w:val="22"/>
          <w:lang w:val="fr-FR"/>
        </w:rPr>
        <w:t xml:space="preserve">. </w:t>
      </w:r>
      <w:r w:rsidR="00C46469" w:rsidRPr="00F015DD">
        <w:rPr>
          <w:rFonts w:asciiTheme="majorHAnsi" w:hAnsiTheme="majorHAnsi"/>
          <w:b/>
          <w:i/>
          <w:szCs w:val="22"/>
          <w:lang w:val="fr-FR"/>
        </w:rPr>
        <w:t>Royaume-</w:t>
      </w:r>
      <w:r w:rsidRPr="00F015DD">
        <w:rPr>
          <w:rFonts w:asciiTheme="majorHAnsi" w:hAnsiTheme="majorHAnsi"/>
          <w:b/>
          <w:i/>
          <w:szCs w:val="22"/>
          <w:lang w:val="fr-FR"/>
        </w:rPr>
        <w:t>Uni</w:t>
      </w:r>
      <w:r w:rsidR="00801E58" w:rsidRPr="00F015DD">
        <w:rPr>
          <w:rStyle w:val="FootnoteReference"/>
          <w:rFonts w:asciiTheme="majorHAnsi" w:hAnsiTheme="majorHAnsi"/>
          <w:b/>
          <w:szCs w:val="22"/>
          <w:lang w:val="fr-FR"/>
        </w:rPr>
        <w:footnoteReference w:id="36"/>
      </w:r>
      <w:r w:rsidR="00801E58" w:rsidRPr="00F015DD">
        <w:rPr>
          <w:rFonts w:asciiTheme="majorHAnsi" w:hAnsiTheme="majorHAnsi"/>
          <w:b/>
          <w:szCs w:val="22"/>
          <w:lang w:val="fr-FR"/>
        </w:rPr>
        <w:t xml:space="preserve"> </w:t>
      </w:r>
    </w:p>
    <w:p w14:paraId="1FEECF93" w14:textId="1C22A8C5" w:rsidR="00801E58" w:rsidRPr="00F015DD" w:rsidRDefault="00851E0C" w:rsidP="00806429">
      <w:pPr>
        <w:jc w:val="both"/>
        <w:rPr>
          <w:rFonts w:asciiTheme="majorHAnsi" w:hAnsiTheme="majorHAnsi"/>
          <w:i/>
          <w:sz w:val="22"/>
          <w:szCs w:val="22"/>
          <w:lang w:val="fr-FR"/>
        </w:rPr>
      </w:pPr>
      <w:r w:rsidRPr="00F015DD">
        <w:rPr>
          <w:rFonts w:asciiTheme="majorHAnsi" w:hAnsiTheme="majorHAnsi" w:cs="Verdana"/>
          <w:color w:val="171717"/>
          <w:sz w:val="22"/>
          <w:szCs w:val="22"/>
          <w:lang w:val="fr-FR"/>
        </w:rPr>
        <w:t xml:space="preserve">Un ancien membre des services de sécurité britanniques a écrit ses mémoires </w:t>
      </w:r>
      <w:r w:rsidR="00806429" w:rsidRPr="00F015DD">
        <w:rPr>
          <w:rFonts w:asciiTheme="majorHAnsi" w:hAnsiTheme="majorHAnsi" w:cs="Verdana"/>
          <w:color w:val="171717"/>
          <w:sz w:val="22"/>
          <w:szCs w:val="22"/>
          <w:lang w:val="fr-FR"/>
        </w:rPr>
        <w:t>"</w:t>
      </w:r>
      <w:proofErr w:type="spellStart"/>
      <w:r w:rsidR="00806429" w:rsidRPr="00F015DD">
        <w:rPr>
          <w:rFonts w:asciiTheme="majorHAnsi" w:hAnsiTheme="majorHAnsi" w:cs="Verdana"/>
          <w:color w:val="171717"/>
          <w:sz w:val="22"/>
          <w:szCs w:val="22"/>
          <w:lang w:val="fr-FR"/>
        </w:rPr>
        <w:t>Spycatcher</w:t>
      </w:r>
      <w:proofErr w:type="spellEnd"/>
      <w:r w:rsidR="00806429" w:rsidRPr="00F015DD">
        <w:rPr>
          <w:rFonts w:asciiTheme="majorHAnsi" w:hAnsiTheme="majorHAnsi" w:cs="Verdana"/>
          <w:color w:val="171717"/>
          <w:sz w:val="22"/>
          <w:szCs w:val="22"/>
          <w:lang w:val="fr-FR"/>
        </w:rPr>
        <w:t xml:space="preserve">" </w:t>
      </w:r>
      <w:r w:rsidRPr="00F015DD">
        <w:rPr>
          <w:rFonts w:asciiTheme="majorHAnsi" w:hAnsiTheme="majorHAnsi" w:cs="Verdana"/>
          <w:color w:val="171717"/>
          <w:sz w:val="22"/>
          <w:szCs w:val="22"/>
          <w:lang w:val="fr-FR"/>
        </w:rPr>
        <w:t xml:space="preserve">et a pris ses dispositions pour les publier en Australie sans avoir obtenu l'autorisation des services de sécurité. Il </w:t>
      </w:r>
      <w:r w:rsidR="00C46469" w:rsidRPr="00F015DD">
        <w:rPr>
          <w:rFonts w:asciiTheme="majorHAnsi" w:hAnsiTheme="majorHAnsi" w:cs="Verdana"/>
          <w:color w:val="171717"/>
          <w:sz w:val="22"/>
          <w:szCs w:val="22"/>
          <w:lang w:val="fr-FR"/>
        </w:rPr>
        <w:t>a affirmé que jusqu'à</w:t>
      </w:r>
      <w:r w:rsidRPr="00F015DD">
        <w:rPr>
          <w:rFonts w:asciiTheme="majorHAnsi" w:hAnsiTheme="majorHAnsi" w:cs="Verdana"/>
          <w:color w:val="171717"/>
          <w:sz w:val="22"/>
          <w:szCs w:val="22"/>
          <w:lang w:val="fr-FR"/>
        </w:rPr>
        <w:t xml:space="preserve"> la fin des années 70, les services de sécurité se livraient à des activités illicites dont l'écoute et le c</w:t>
      </w:r>
      <w:r w:rsidR="00C46469" w:rsidRPr="00F015DD">
        <w:rPr>
          <w:rFonts w:asciiTheme="majorHAnsi" w:hAnsiTheme="majorHAnsi" w:cs="Verdana"/>
          <w:color w:val="171717"/>
          <w:sz w:val="22"/>
          <w:szCs w:val="22"/>
          <w:lang w:val="fr-FR"/>
        </w:rPr>
        <w:t>a</w:t>
      </w:r>
      <w:r w:rsidRPr="00F015DD">
        <w:rPr>
          <w:rFonts w:asciiTheme="majorHAnsi" w:hAnsiTheme="majorHAnsi" w:cs="Verdana"/>
          <w:color w:val="171717"/>
          <w:sz w:val="22"/>
          <w:szCs w:val="22"/>
          <w:lang w:val="fr-FR"/>
        </w:rPr>
        <w:t xml:space="preserve">mbriolage de certaines ambassades de pays amis. Des procédures ont été engagées </w:t>
      </w:r>
      <w:proofErr w:type="spellStart"/>
      <w:r w:rsidR="00CB74B1">
        <w:rPr>
          <w:rFonts w:asciiTheme="majorHAnsi" w:hAnsiTheme="majorHAnsi" w:cs="Verdana"/>
          <w:color w:val="171717"/>
          <w:sz w:val="22"/>
          <w:szCs w:val="22"/>
          <w:lang w:val="fr-FR"/>
        </w:rPr>
        <w:t>aupres</w:t>
      </w:r>
      <w:proofErr w:type="spellEnd"/>
      <w:r w:rsidR="00CB74B1">
        <w:rPr>
          <w:rFonts w:asciiTheme="majorHAnsi" w:hAnsiTheme="majorHAnsi" w:cs="Verdana"/>
          <w:color w:val="171717"/>
          <w:sz w:val="22"/>
          <w:szCs w:val="22"/>
          <w:lang w:val="fr-FR"/>
        </w:rPr>
        <w:t xml:space="preserve"> de </w:t>
      </w:r>
      <w:r w:rsidRPr="00F015DD">
        <w:rPr>
          <w:rFonts w:asciiTheme="majorHAnsi" w:hAnsiTheme="majorHAnsi" w:cs="Verdana"/>
          <w:color w:val="171717"/>
          <w:sz w:val="22"/>
          <w:szCs w:val="22"/>
          <w:lang w:val="fr-FR"/>
        </w:rPr>
        <w:t>la justice anglaise et des injonctions provisoires o</w:t>
      </w:r>
      <w:r w:rsidR="00C8551E" w:rsidRPr="00F015DD">
        <w:rPr>
          <w:rFonts w:asciiTheme="majorHAnsi" w:hAnsiTheme="majorHAnsi" w:cs="Verdana"/>
          <w:color w:val="171717"/>
          <w:sz w:val="22"/>
          <w:szCs w:val="22"/>
          <w:lang w:val="fr-FR"/>
        </w:rPr>
        <w:t>nt été obtenues pour empêcher la</w:t>
      </w:r>
      <w:r w:rsidRPr="00F015DD">
        <w:rPr>
          <w:rFonts w:asciiTheme="majorHAnsi" w:hAnsiTheme="majorHAnsi" w:cs="Verdana"/>
          <w:color w:val="171717"/>
          <w:sz w:val="22"/>
          <w:szCs w:val="22"/>
          <w:lang w:val="fr-FR"/>
        </w:rPr>
        <w:t xml:space="preserve"> publication </w:t>
      </w:r>
      <w:r w:rsidR="00C46469" w:rsidRPr="00F015DD">
        <w:rPr>
          <w:rFonts w:asciiTheme="majorHAnsi" w:hAnsiTheme="majorHAnsi" w:cs="Verdana"/>
          <w:color w:val="171717"/>
          <w:sz w:val="22"/>
          <w:szCs w:val="22"/>
          <w:lang w:val="fr-FR"/>
        </w:rPr>
        <w:t xml:space="preserve">jusqu'à </w:t>
      </w:r>
      <w:r w:rsidRPr="00F015DD">
        <w:rPr>
          <w:rFonts w:asciiTheme="majorHAnsi" w:hAnsiTheme="majorHAnsi" w:cs="Verdana"/>
          <w:color w:val="171717"/>
          <w:sz w:val="22"/>
          <w:szCs w:val="22"/>
          <w:lang w:val="fr-FR"/>
        </w:rPr>
        <w:t>l'instruction du procès quant au fond en Australie</w:t>
      </w:r>
      <w:r w:rsidR="00806429" w:rsidRPr="00F015DD">
        <w:rPr>
          <w:rFonts w:asciiTheme="majorHAnsi" w:hAnsiTheme="majorHAnsi" w:cs="Verdana"/>
          <w:color w:val="171717"/>
          <w:sz w:val="22"/>
          <w:szCs w:val="22"/>
          <w:lang w:val="fr-FR"/>
        </w:rPr>
        <w:t xml:space="preserve">. </w:t>
      </w:r>
      <w:r w:rsidRPr="00F015DD">
        <w:rPr>
          <w:rFonts w:asciiTheme="majorHAnsi" w:hAnsiTheme="majorHAnsi" w:cs="Verdana"/>
          <w:color w:val="171717"/>
          <w:sz w:val="22"/>
          <w:szCs w:val="22"/>
          <w:lang w:val="fr-FR"/>
        </w:rPr>
        <w:t xml:space="preserve">Par la suite, il a été annoncé que </w:t>
      </w:r>
      <w:proofErr w:type="spellStart"/>
      <w:r w:rsidR="00806429" w:rsidRPr="00F015DD">
        <w:rPr>
          <w:rFonts w:asciiTheme="majorHAnsi" w:hAnsiTheme="majorHAnsi" w:cs="Verdana"/>
          <w:color w:val="171717"/>
          <w:sz w:val="22"/>
          <w:szCs w:val="22"/>
          <w:lang w:val="fr-FR"/>
        </w:rPr>
        <w:t>Spycatcher</w:t>
      </w:r>
      <w:proofErr w:type="spellEnd"/>
      <w:r w:rsidR="00806429" w:rsidRPr="00F015DD">
        <w:rPr>
          <w:rFonts w:asciiTheme="majorHAnsi" w:hAnsiTheme="majorHAnsi" w:cs="Verdana"/>
          <w:color w:val="171717"/>
          <w:sz w:val="22"/>
          <w:szCs w:val="22"/>
          <w:lang w:val="fr-FR"/>
        </w:rPr>
        <w:t xml:space="preserve"> </w:t>
      </w:r>
      <w:r w:rsidRPr="00F015DD">
        <w:rPr>
          <w:rFonts w:asciiTheme="majorHAnsi" w:hAnsiTheme="majorHAnsi" w:cs="Verdana"/>
          <w:color w:val="171717"/>
          <w:sz w:val="22"/>
          <w:szCs w:val="22"/>
          <w:lang w:val="fr-FR"/>
        </w:rPr>
        <w:t>serait publié aux Etats-Unis. Un autre journal a obtenu une copie du manus</w:t>
      </w:r>
      <w:r w:rsidR="00C46469" w:rsidRPr="00F015DD">
        <w:rPr>
          <w:rFonts w:asciiTheme="majorHAnsi" w:hAnsiTheme="majorHAnsi" w:cs="Verdana"/>
          <w:color w:val="171717"/>
          <w:sz w:val="22"/>
          <w:szCs w:val="22"/>
          <w:lang w:val="fr-FR"/>
        </w:rPr>
        <w:t>crit auprès des éditeurs améric</w:t>
      </w:r>
      <w:r w:rsidRPr="00F015DD">
        <w:rPr>
          <w:rFonts w:asciiTheme="majorHAnsi" w:hAnsiTheme="majorHAnsi" w:cs="Verdana"/>
          <w:color w:val="171717"/>
          <w:sz w:val="22"/>
          <w:szCs w:val="22"/>
          <w:lang w:val="fr-FR"/>
        </w:rPr>
        <w:t>a</w:t>
      </w:r>
      <w:r w:rsidR="00C46469" w:rsidRPr="00F015DD">
        <w:rPr>
          <w:rFonts w:asciiTheme="majorHAnsi" w:hAnsiTheme="majorHAnsi" w:cs="Verdana"/>
          <w:color w:val="171717"/>
          <w:sz w:val="22"/>
          <w:szCs w:val="22"/>
          <w:lang w:val="fr-FR"/>
        </w:rPr>
        <w:t>i</w:t>
      </w:r>
      <w:r w:rsidRPr="00F015DD">
        <w:rPr>
          <w:rFonts w:asciiTheme="majorHAnsi" w:hAnsiTheme="majorHAnsi" w:cs="Verdana"/>
          <w:color w:val="171717"/>
          <w:sz w:val="22"/>
          <w:szCs w:val="22"/>
          <w:lang w:val="fr-FR"/>
        </w:rPr>
        <w:t xml:space="preserve">ns et a commencé la </w:t>
      </w:r>
      <w:r w:rsidR="00806429" w:rsidRPr="00F015DD">
        <w:rPr>
          <w:rFonts w:asciiTheme="majorHAnsi" w:hAnsiTheme="majorHAnsi" w:cs="Verdana"/>
          <w:color w:val="171717"/>
          <w:sz w:val="22"/>
          <w:szCs w:val="22"/>
          <w:lang w:val="fr-FR"/>
        </w:rPr>
        <w:t>s</w:t>
      </w:r>
      <w:r w:rsidRPr="00F015DD">
        <w:rPr>
          <w:rFonts w:asciiTheme="majorHAnsi" w:hAnsiTheme="majorHAnsi" w:cs="Verdana"/>
          <w:color w:val="171717"/>
          <w:sz w:val="22"/>
          <w:szCs w:val="22"/>
          <w:lang w:val="fr-FR"/>
        </w:rPr>
        <w:t>é</w:t>
      </w:r>
      <w:r w:rsidR="00806429" w:rsidRPr="00F015DD">
        <w:rPr>
          <w:rFonts w:asciiTheme="majorHAnsi" w:hAnsiTheme="majorHAnsi" w:cs="Verdana"/>
          <w:color w:val="171717"/>
          <w:sz w:val="22"/>
          <w:szCs w:val="22"/>
          <w:lang w:val="fr-FR"/>
        </w:rPr>
        <w:t xml:space="preserve">rialisation. </w:t>
      </w:r>
      <w:r w:rsidRPr="00F015DD">
        <w:rPr>
          <w:rFonts w:asciiTheme="majorHAnsi" w:hAnsiTheme="majorHAnsi" w:cs="Verdana"/>
          <w:color w:val="171717"/>
          <w:sz w:val="22"/>
          <w:szCs w:val="22"/>
          <w:lang w:val="fr-FR"/>
        </w:rPr>
        <w:t xml:space="preserve">Le </w:t>
      </w:r>
      <w:r w:rsidR="00C46469" w:rsidRPr="00F015DD">
        <w:rPr>
          <w:rFonts w:asciiTheme="majorHAnsi" w:hAnsiTheme="majorHAnsi" w:cs="Verdana"/>
          <w:color w:val="171717"/>
          <w:sz w:val="22"/>
          <w:szCs w:val="22"/>
          <w:lang w:val="fr-FR"/>
        </w:rPr>
        <w:t>g</w:t>
      </w:r>
      <w:r w:rsidRPr="00F015DD">
        <w:rPr>
          <w:rFonts w:asciiTheme="majorHAnsi" w:hAnsiTheme="majorHAnsi" w:cs="Verdana"/>
          <w:color w:val="171717"/>
          <w:sz w:val="22"/>
          <w:szCs w:val="22"/>
          <w:lang w:val="fr-FR"/>
        </w:rPr>
        <w:t>ouvernement britannique a engagé des poursuite</w:t>
      </w:r>
      <w:r w:rsidR="00C8551E" w:rsidRPr="00F015DD">
        <w:rPr>
          <w:rFonts w:asciiTheme="majorHAnsi" w:hAnsiTheme="majorHAnsi" w:cs="Verdana"/>
          <w:color w:val="171717"/>
          <w:sz w:val="22"/>
          <w:szCs w:val="22"/>
          <w:lang w:val="fr-FR"/>
        </w:rPr>
        <w:t>s</w:t>
      </w:r>
      <w:r w:rsidRPr="00F015DD">
        <w:rPr>
          <w:rFonts w:asciiTheme="majorHAnsi" w:hAnsiTheme="majorHAnsi" w:cs="Verdana"/>
          <w:color w:val="171717"/>
          <w:sz w:val="22"/>
          <w:szCs w:val="22"/>
          <w:lang w:val="fr-FR"/>
        </w:rPr>
        <w:t xml:space="preserve"> pour outrage contre ce journal</w:t>
      </w:r>
      <w:r w:rsidR="00CB74B1">
        <w:rPr>
          <w:rFonts w:asciiTheme="majorHAnsi" w:hAnsiTheme="majorHAnsi" w:cs="Verdana"/>
          <w:color w:val="171717"/>
          <w:sz w:val="22"/>
          <w:szCs w:val="22"/>
          <w:lang w:val="fr-FR"/>
        </w:rPr>
        <w:t xml:space="preserve">. </w:t>
      </w:r>
      <w:r w:rsidRPr="00F015DD">
        <w:rPr>
          <w:rFonts w:asciiTheme="majorHAnsi" w:hAnsiTheme="majorHAnsi" w:cs="Verdana"/>
          <w:color w:val="171717"/>
          <w:sz w:val="22"/>
          <w:szCs w:val="22"/>
          <w:lang w:val="fr-FR"/>
        </w:rPr>
        <w:t xml:space="preserve"> </w:t>
      </w:r>
    </w:p>
    <w:p w14:paraId="279DEBA2" w14:textId="77777777" w:rsidR="00806429" w:rsidRPr="00F015DD" w:rsidRDefault="00806429" w:rsidP="00806429">
      <w:pPr>
        <w:widowControl w:val="0"/>
        <w:autoSpaceDE w:val="0"/>
        <w:autoSpaceDN w:val="0"/>
        <w:adjustRightInd w:val="0"/>
        <w:rPr>
          <w:rFonts w:asciiTheme="majorHAnsi" w:hAnsiTheme="majorHAnsi" w:cs="Verdana"/>
          <w:b/>
          <w:bCs/>
          <w:color w:val="171717"/>
          <w:sz w:val="22"/>
          <w:szCs w:val="22"/>
          <w:lang w:val="fr-FR"/>
        </w:rPr>
      </w:pPr>
    </w:p>
    <w:p w14:paraId="7065664A" w14:textId="77777777" w:rsidR="00265CC5" w:rsidRPr="00F015DD" w:rsidRDefault="00851E0C" w:rsidP="00806429">
      <w:pPr>
        <w:widowControl w:val="0"/>
        <w:autoSpaceDE w:val="0"/>
        <w:autoSpaceDN w:val="0"/>
        <w:adjustRightInd w:val="0"/>
        <w:jc w:val="both"/>
        <w:rPr>
          <w:rFonts w:asciiTheme="majorHAnsi" w:hAnsiTheme="majorHAnsi" w:cs="Verdana"/>
          <w:color w:val="171717"/>
          <w:sz w:val="22"/>
          <w:szCs w:val="22"/>
          <w:lang w:val="fr-FR"/>
        </w:rPr>
      </w:pPr>
      <w:r w:rsidRPr="00F015DD">
        <w:rPr>
          <w:rFonts w:asciiTheme="majorHAnsi" w:hAnsiTheme="majorHAnsi" w:cs="Verdana"/>
          <w:color w:val="171717"/>
          <w:sz w:val="22"/>
          <w:szCs w:val="22"/>
          <w:lang w:val="fr-FR"/>
        </w:rPr>
        <w:t>La cour a d'abord réaffirmé ses grands principes</w:t>
      </w:r>
      <w:r w:rsidR="00265CC5" w:rsidRPr="00F015DD">
        <w:rPr>
          <w:rFonts w:asciiTheme="majorHAnsi" w:hAnsiTheme="majorHAnsi" w:cs="Verdana"/>
          <w:color w:val="171717"/>
          <w:sz w:val="22"/>
          <w:szCs w:val="22"/>
          <w:lang w:val="fr-FR"/>
        </w:rPr>
        <w:t>:</w:t>
      </w:r>
    </w:p>
    <w:p w14:paraId="7D1206D0" w14:textId="77777777" w:rsidR="00265CC5" w:rsidRPr="00F015DD" w:rsidRDefault="00851E0C" w:rsidP="00B107FC">
      <w:pPr>
        <w:pStyle w:val="ListParagraph"/>
        <w:widowControl w:val="0"/>
        <w:numPr>
          <w:ilvl w:val="1"/>
          <w:numId w:val="19"/>
        </w:numPr>
        <w:autoSpaceDE w:val="0"/>
        <w:autoSpaceDN w:val="0"/>
        <w:adjustRightInd w:val="0"/>
        <w:jc w:val="both"/>
        <w:rPr>
          <w:rFonts w:asciiTheme="majorHAnsi" w:hAnsiTheme="majorHAnsi" w:cs="Verdana"/>
          <w:color w:val="171717"/>
          <w:sz w:val="22"/>
          <w:szCs w:val="22"/>
          <w:lang w:val="fr-FR"/>
        </w:rPr>
      </w:pPr>
      <w:r w:rsidRPr="00F015DD">
        <w:rPr>
          <w:rFonts w:asciiTheme="majorHAnsi" w:hAnsiTheme="majorHAnsi" w:cs="Verdana"/>
          <w:color w:val="171717"/>
          <w:sz w:val="22"/>
          <w:szCs w:val="22"/>
          <w:lang w:val="fr-FR"/>
        </w:rPr>
        <w:t>Le liberté d'expression constitue l'un des fondements essentiels d'une société démocratique; sauf restrictions légitimes, elle est applicable non seulement à "l'information" ou aux "idées" qui sont reçues favorablement ou considérées comme inoffensives ou qui laissent les gens indifféren</w:t>
      </w:r>
      <w:r w:rsidR="00C46469" w:rsidRPr="00F015DD">
        <w:rPr>
          <w:rFonts w:asciiTheme="majorHAnsi" w:hAnsiTheme="majorHAnsi" w:cs="Verdana"/>
          <w:color w:val="171717"/>
          <w:sz w:val="22"/>
          <w:szCs w:val="22"/>
          <w:lang w:val="fr-FR"/>
        </w:rPr>
        <w:t>ts mais aussi à celles qui heur</w:t>
      </w:r>
      <w:r w:rsidRPr="00F015DD">
        <w:rPr>
          <w:rFonts w:asciiTheme="majorHAnsi" w:hAnsiTheme="majorHAnsi" w:cs="Verdana"/>
          <w:color w:val="171717"/>
          <w:sz w:val="22"/>
          <w:szCs w:val="22"/>
          <w:lang w:val="fr-FR"/>
        </w:rPr>
        <w:t>tent, choquent ou inquiètent. La liberté d'expression ...est sujette à certaines exceptions qui doivent, néanmoins, faire l'objet d'une interprétation stricte et la nécessité d'une quelconque restriction doit être établie de manière convaincante</w:t>
      </w:r>
      <w:r w:rsidR="00265CC5" w:rsidRPr="00F015DD">
        <w:rPr>
          <w:rFonts w:asciiTheme="majorHAnsi" w:hAnsiTheme="majorHAnsi" w:cs="Verdana"/>
          <w:color w:val="171717"/>
          <w:sz w:val="22"/>
          <w:szCs w:val="22"/>
          <w:lang w:val="fr-FR"/>
        </w:rPr>
        <w:t>.</w:t>
      </w:r>
    </w:p>
    <w:p w14:paraId="379C42FD" w14:textId="431ED469" w:rsidR="00265CC5" w:rsidRPr="00F015DD" w:rsidRDefault="00851E0C" w:rsidP="00806429">
      <w:pPr>
        <w:pStyle w:val="ListParagraph"/>
        <w:widowControl w:val="0"/>
        <w:numPr>
          <w:ilvl w:val="1"/>
          <w:numId w:val="19"/>
        </w:numPr>
        <w:autoSpaceDE w:val="0"/>
        <w:autoSpaceDN w:val="0"/>
        <w:adjustRightInd w:val="0"/>
        <w:jc w:val="both"/>
        <w:rPr>
          <w:rFonts w:asciiTheme="majorHAnsi" w:hAnsiTheme="majorHAnsi" w:cs="Verdana"/>
          <w:color w:val="171717"/>
          <w:sz w:val="22"/>
          <w:szCs w:val="22"/>
          <w:lang w:val="fr-FR"/>
        </w:rPr>
      </w:pPr>
      <w:r w:rsidRPr="00F015DD">
        <w:rPr>
          <w:rFonts w:asciiTheme="majorHAnsi" w:hAnsiTheme="majorHAnsi" w:cs="Verdana"/>
          <w:color w:val="171717"/>
          <w:sz w:val="22"/>
          <w:szCs w:val="22"/>
          <w:lang w:val="fr-FR"/>
        </w:rPr>
        <w:t>Ces principes revêtent une importance particulière pour la presse. Tout en</w:t>
      </w:r>
      <w:r w:rsidR="00956162" w:rsidRPr="00F015DD">
        <w:rPr>
          <w:rFonts w:asciiTheme="majorHAnsi" w:hAnsiTheme="majorHAnsi" w:cs="Verdana"/>
          <w:color w:val="171717"/>
          <w:sz w:val="22"/>
          <w:szCs w:val="22"/>
          <w:lang w:val="fr-FR"/>
        </w:rPr>
        <w:t xml:space="preserve"> respectant les limites tracées dans, entre autres, "l'intérêt de la sécurité nationale" ou pour "maintenir l'autorité du pouvoir judiciaire", il revient à la presse de communiquer des informations et des idées sur les affaires d'intérêt public</w:t>
      </w:r>
      <w:r w:rsidR="00265CC5" w:rsidRPr="00F015DD">
        <w:rPr>
          <w:rFonts w:asciiTheme="majorHAnsi" w:hAnsiTheme="majorHAnsi" w:cs="Verdana"/>
          <w:color w:val="171717"/>
          <w:sz w:val="22"/>
          <w:szCs w:val="22"/>
          <w:lang w:val="fr-FR"/>
        </w:rPr>
        <w:t xml:space="preserve">. </w:t>
      </w:r>
      <w:r w:rsidR="00956162" w:rsidRPr="00F015DD">
        <w:rPr>
          <w:rFonts w:asciiTheme="majorHAnsi" w:hAnsiTheme="majorHAnsi" w:cs="Verdana"/>
          <w:color w:val="171717"/>
          <w:sz w:val="22"/>
          <w:szCs w:val="22"/>
          <w:lang w:val="fr-FR"/>
        </w:rPr>
        <w:t xml:space="preserve">Il n'est pas seulement du devoir de la presse de communiquer de telles informations et idées mais le public aussi est en droit de les recevoir. S'il en était autrement, la presse serait dans l'incapacité de jouer son rôle vital de </w:t>
      </w:r>
      <w:r w:rsidR="00265CC5" w:rsidRPr="00F015DD">
        <w:rPr>
          <w:rFonts w:asciiTheme="majorHAnsi" w:hAnsiTheme="majorHAnsi" w:cs="Verdana"/>
          <w:color w:val="171717"/>
          <w:sz w:val="22"/>
          <w:szCs w:val="22"/>
          <w:lang w:val="fr-FR"/>
        </w:rPr>
        <w:t>"</w:t>
      </w:r>
      <w:r w:rsidR="00CB74B1">
        <w:rPr>
          <w:rFonts w:asciiTheme="majorHAnsi" w:hAnsiTheme="majorHAnsi" w:cs="Verdana"/>
          <w:color w:val="171717"/>
          <w:sz w:val="22"/>
          <w:szCs w:val="22"/>
          <w:lang w:val="fr-FR"/>
        </w:rPr>
        <w:t xml:space="preserve">garde fou </w:t>
      </w:r>
      <w:r w:rsidR="00956162" w:rsidRPr="00F015DD">
        <w:rPr>
          <w:rFonts w:asciiTheme="majorHAnsi" w:hAnsiTheme="majorHAnsi" w:cs="Verdana"/>
          <w:color w:val="171717"/>
          <w:sz w:val="22"/>
          <w:szCs w:val="22"/>
          <w:lang w:val="fr-FR"/>
        </w:rPr>
        <w:t>public"</w:t>
      </w:r>
      <w:r w:rsidR="00265CC5" w:rsidRPr="00F015DD">
        <w:rPr>
          <w:rFonts w:asciiTheme="majorHAnsi" w:hAnsiTheme="majorHAnsi" w:cs="Verdana"/>
          <w:color w:val="171717"/>
          <w:sz w:val="22"/>
          <w:szCs w:val="22"/>
          <w:lang w:val="fr-FR"/>
        </w:rPr>
        <w:t>.</w:t>
      </w:r>
    </w:p>
    <w:p w14:paraId="00C2AD45" w14:textId="77777777" w:rsidR="00B107FC" w:rsidRPr="00F015DD" w:rsidRDefault="00B107FC" w:rsidP="00806429">
      <w:pPr>
        <w:widowControl w:val="0"/>
        <w:autoSpaceDE w:val="0"/>
        <w:autoSpaceDN w:val="0"/>
        <w:adjustRightInd w:val="0"/>
        <w:jc w:val="both"/>
        <w:rPr>
          <w:rFonts w:asciiTheme="majorHAnsi" w:hAnsiTheme="majorHAnsi" w:cs="Verdana"/>
          <w:color w:val="171717"/>
          <w:sz w:val="22"/>
          <w:szCs w:val="22"/>
          <w:lang w:val="fr-FR"/>
        </w:rPr>
      </w:pPr>
    </w:p>
    <w:p w14:paraId="477DDCE0" w14:textId="77777777" w:rsidR="00265CC5" w:rsidRPr="00F015DD" w:rsidRDefault="00956162" w:rsidP="00806429">
      <w:pPr>
        <w:widowControl w:val="0"/>
        <w:autoSpaceDE w:val="0"/>
        <w:autoSpaceDN w:val="0"/>
        <w:adjustRightInd w:val="0"/>
        <w:jc w:val="both"/>
        <w:rPr>
          <w:rFonts w:asciiTheme="majorHAnsi" w:hAnsiTheme="majorHAnsi" w:cs="Verdana"/>
          <w:color w:val="171717"/>
          <w:sz w:val="22"/>
          <w:szCs w:val="22"/>
          <w:lang w:val="fr-FR"/>
        </w:rPr>
      </w:pPr>
      <w:r w:rsidRPr="00F015DD">
        <w:rPr>
          <w:rFonts w:asciiTheme="majorHAnsi" w:hAnsiTheme="majorHAnsi" w:cs="Verdana"/>
          <w:color w:val="171717"/>
          <w:sz w:val="22"/>
          <w:szCs w:val="22"/>
          <w:lang w:val="fr-FR"/>
        </w:rPr>
        <w:t xml:space="preserve">La cour a souligné que toute forme de restriction </w:t>
      </w:r>
      <w:r w:rsidR="005918F5" w:rsidRPr="00F015DD">
        <w:rPr>
          <w:rFonts w:asciiTheme="majorHAnsi" w:hAnsiTheme="majorHAnsi" w:cs="Verdana"/>
          <w:color w:val="171717"/>
          <w:sz w:val="22"/>
          <w:szCs w:val="22"/>
          <w:lang w:val="fr-FR"/>
        </w:rPr>
        <w:t>précédente</w:t>
      </w:r>
      <w:r w:rsidRPr="00F015DD">
        <w:rPr>
          <w:rFonts w:asciiTheme="majorHAnsi" w:hAnsiTheme="majorHAnsi" w:cs="Verdana"/>
          <w:color w:val="171717"/>
          <w:sz w:val="22"/>
          <w:szCs w:val="22"/>
          <w:lang w:val="fr-FR"/>
        </w:rPr>
        <w:t xml:space="preserve"> telle que les injonctions en question devrait être soumise à un examen des plus rigoureux</w:t>
      </w:r>
      <w:r w:rsidR="00265CC5" w:rsidRPr="00F015DD">
        <w:rPr>
          <w:rFonts w:asciiTheme="majorHAnsi" w:hAnsiTheme="majorHAnsi" w:cs="Verdana"/>
          <w:color w:val="171717"/>
          <w:sz w:val="22"/>
          <w:szCs w:val="22"/>
          <w:lang w:val="fr-FR"/>
        </w:rPr>
        <w:t>:</w:t>
      </w:r>
    </w:p>
    <w:p w14:paraId="428F48AE" w14:textId="77777777" w:rsidR="00806429" w:rsidRPr="00F015DD" w:rsidRDefault="00806429" w:rsidP="00806429">
      <w:pPr>
        <w:widowControl w:val="0"/>
        <w:autoSpaceDE w:val="0"/>
        <w:autoSpaceDN w:val="0"/>
        <w:adjustRightInd w:val="0"/>
        <w:jc w:val="both"/>
        <w:rPr>
          <w:rFonts w:asciiTheme="majorHAnsi" w:hAnsiTheme="majorHAnsi" w:cs="Verdana"/>
          <w:color w:val="171717"/>
          <w:sz w:val="22"/>
          <w:szCs w:val="22"/>
          <w:lang w:val="fr-FR"/>
        </w:rPr>
      </w:pPr>
    </w:p>
    <w:p w14:paraId="0DE40F35" w14:textId="77777777" w:rsidR="00265CC5" w:rsidRPr="00F015DD" w:rsidRDefault="005918F5" w:rsidP="00B107FC">
      <w:pPr>
        <w:pStyle w:val="ListParagraph"/>
        <w:widowControl w:val="0"/>
        <w:numPr>
          <w:ilvl w:val="0"/>
          <w:numId w:val="20"/>
        </w:numPr>
        <w:autoSpaceDE w:val="0"/>
        <w:autoSpaceDN w:val="0"/>
        <w:adjustRightInd w:val="0"/>
        <w:jc w:val="both"/>
        <w:rPr>
          <w:rFonts w:asciiTheme="majorHAnsi" w:hAnsiTheme="majorHAnsi" w:cs="Verdana"/>
          <w:color w:val="171717"/>
          <w:sz w:val="22"/>
          <w:szCs w:val="22"/>
          <w:lang w:val="fr-FR"/>
        </w:rPr>
      </w:pPr>
      <w:r w:rsidRPr="00F015DD">
        <w:rPr>
          <w:rFonts w:asciiTheme="majorHAnsi" w:hAnsiTheme="majorHAnsi" w:cs="Verdana"/>
          <w:color w:val="171717"/>
          <w:sz w:val="22"/>
          <w:szCs w:val="22"/>
          <w:lang w:val="fr-FR"/>
        </w:rPr>
        <w:t>L</w:t>
      </w:r>
      <w:r w:rsidR="00956162" w:rsidRPr="00F015DD">
        <w:rPr>
          <w:rFonts w:asciiTheme="majorHAnsi" w:hAnsiTheme="majorHAnsi" w:cs="Verdana"/>
          <w:color w:val="171717"/>
          <w:sz w:val="22"/>
          <w:szCs w:val="22"/>
          <w:lang w:val="fr-FR"/>
        </w:rPr>
        <w:t xml:space="preserve">es dangers inhérents aux </w:t>
      </w:r>
      <w:r w:rsidRPr="00F015DD">
        <w:rPr>
          <w:rFonts w:asciiTheme="majorHAnsi" w:hAnsiTheme="majorHAnsi" w:cs="Verdana"/>
          <w:color w:val="171717"/>
          <w:sz w:val="22"/>
          <w:szCs w:val="22"/>
          <w:lang w:val="fr-FR"/>
        </w:rPr>
        <w:t xml:space="preserve">restrictions précédentes sont tels qu'ils nécessitent un </w:t>
      </w:r>
      <w:r w:rsidRPr="00F015DD">
        <w:rPr>
          <w:rFonts w:asciiTheme="majorHAnsi" w:hAnsiTheme="majorHAnsi" w:cs="Verdana"/>
          <w:color w:val="171717"/>
          <w:sz w:val="22"/>
          <w:szCs w:val="22"/>
          <w:lang w:val="fr-FR"/>
        </w:rPr>
        <w:lastRenderedPageBreak/>
        <w:t xml:space="preserve">examen des plus rigoureux de la part de la cour. Ceci est d'autant plus vrai pour le cas de la presse parce que les informations constituent un bien périssable et retarder </w:t>
      </w:r>
      <w:r w:rsidR="00C46469" w:rsidRPr="00F015DD">
        <w:rPr>
          <w:rFonts w:asciiTheme="majorHAnsi" w:hAnsiTheme="majorHAnsi" w:cs="Verdana"/>
          <w:color w:val="171717"/>
          <w:sz w:val="22"/>
          <w:szCs w:val="22"/>
          <w:lang w:val="fr-FR"/>
        </w:rPr>
        <w:t xml:space="preserve">leur </w:t>
      </w:r>
      <w:r w:rsidRPr="00F015DD">
        <w:rPr>
          <w:rFonts w:asciiTheme="majorHAnsi" w:hAnsiTheme="majorHAnsi" w:cs="Verdana"/>
          <w:color w:val="171717"/>
          <w:sz w:val="22"/>
          <w:szCs w:val="22"/>
          <w:lang w:val="fr-FR"/>
        </w:rPr>
        <w:t>publication même pour une petite période de temps risque de les priver de leur valeur et intérêt</w:t>
      </w:r>
      <w:r w:rsidR="00265CC5" w:rsidRPr="00F015DD">
        <w:rPr>
          <w:rFonts w:asciiTheme="majorHAnsi" w:hAnsiTheme="majorHAnsi" w:cs="Verdana"/>
          <w:color w:val="171717"/>
          <w:sz w:val="22"/>
          <w:szCs w:val="22"/>
          <w:lang w:val="fr-FR"/>
        </w:rPr>
        <w:t>. (para. 60)</w:t>
      </w:r>
    </w:p>
    <w:p w14:paraId="01282F7C" w14:textId="77777777" w:rsidR="00806429" w:rsidRPr="00F015DD" w:rsidRDefault="00806429" w:rsidP="00806429">
      <w:pPr>
        <w:widowControl w:val="0"/>
        <w:autoSpaceDE w:val="0"/>
        <w:autoSpaceDN w:val="0"/>
        <w:adjustRightInd w:val="0"/>
        <w:jc w:val="both"/>
        <w:rPr>
          <w:rFonts w:asciiTheme="majorHAnsi" w:hAnsiTheme="majorHAnsi" w:cs="Verdana"/>
          <w:color w:val="171717"/>
          <w:sz w:val="22"/>
          <w:szCs w:val="22"/>
          <w:lang w:val="fr-FR"/>
        </w:rPr>
      </w:pPr>
    </w:p>
    <w:p w14:paraId="7DB2699B" w14:textId="77777777" w:rsidR="00265CC5" w:rsidRPr="00F015DD" w:rsidRDefault="005918F5" w:rsidP="00B107FC">
      <w:pPr>
        <w:pStyle w:val="ListParagraph"/>
        <w:widowControl w:val="0"/>
        <w:numPr>
          <w:ilvl w:val="0"/>
          <w:numId w:val="20"/>
        </w:numPr>
        <w:autoSpaceDE w:val="0"/>
        <w:autoSpaceDN w:val="0"/>
        <w:adjustRightInd w:val="0"/>
        <w:jc w:val="both"/>
        <w:rPr>
          <w:rFonts w:asciiTheme="majorHAnsi" w:hAnsiTheme="majorHAnsi" w:cs="Verdana"/>
          <w:color w:val="171717"/>
          <w:sz w:val="22"/>
          <w:szCs w:val="22"/>
          <w:lang w:val="fr-FR"/>
        </w:rPr>
      </w:pPr>
      <w:r w:rsidRPr="00F015DD">
        <w:rPr>
          <w:rFonts w:asciiTheme="majorHAnsi" w:hAnsiTheme="majorHAnsi" w:cs="Verdana"/>
          <w:color w:val="171717"/>
          <w:sz w:val="22"/>
          <w:szCs w:val="22"/>
          <w:lang w:val="fr-FR"/>
        </w:rPr>
        <w:t>Lors de la première période</w:t>
      </w:r>
      <w:r w:rsidR="00265CC5" w:rsidRPr="00F015DD">
        <w:rPr>
          <w:rFonts w:asciiTheme="majorHAnsi" w:hAnsiTheme="majorHAnsi" w:cs="Verdana"/>
          <w:color w:val="171717"/>
          <w:sz w:val="22"/>
          <w:szCs w:val="22"/>
          <w:lang w:val="fr-FR"/>
        </w:rPr>
        <w:t xml:space="preserve">, </w:t>
      </w:r>
      <w:r w:rsidR="00C8551E" w:rsidRPr="00F015DD">
        <w:rPr>
          <w:rFonts w:asciiTheme="majorHAnsi" w:hAnsiTheme="majorHAnsi" w:cs="Verdana"/>
          <w:color w:val="171717"/>
          <w:sz w:val="22"/>
          <w:szCs w:val="22"/>
          <w:u w:val="single"/>
          <w:lang w:val="fr-FR"/>
        </w:rPr>
        <w:t>avant la</w:t>
      </w:r>
      <w:r w:rsidRPr="00F015DD">
        <w:rPr>
          <w:rFonts w:asciiTheme="majorHAnsi" w:hAnsiTheme="majorHAnsi" w:cs="Verdana"/>
          <w:color w:val="171717"/>
          <w:sz w:val="22"/>
          <w:szCs w:val="22"/>
          <w:u w:val="single"/>
          <w:lang w:val="fr-FR"/>
        </w:rPr>
        <w:t xml:space="preserve"> publication de </w:t>
      </w:r>
      <w:proofErr w:type="spellStart"/>
      <w:r w:rsidR="00265CC5" w:rsidRPr="00F015DD">
        <w:rPr>
          <w:rFonts w:asciiTheme="majorHAnsi" w:hAnsiTheme="majorHAnsi" w:cs="Verdana"/>
          <w:color w:val="171717"/>
          <w:sz w:val="22"/>
          <w:szCs w:val="22"/>
          <w:u w:val="single"/>
          <w:lang w:val="fr-FR"/>
        </w:rPr>
        <w:t>Spycatcher</w:t>
      </w:r>
      <w:proofErr w:type="spellEnd"/>
      <w:r w:rsidR="00265CC5" w:rsidRPr="00F015DD">
        <w:rPr>
          <w:rFonts w:asciiTheme="majorHAnsi" w:hAnsiTheme="majorHAnsi" w:cs="Verdana"/>
          <w:color w:val="171717"/>
          <w:sz w:val="22"/>
          <w:szCs w:val="22"/>
          <w:u w:val="single"/>
          <w:lang w:val="fr-FR"/>
        </w:rPr>
        <w:t xml:space="preserve"> </w:t>
      </w:r>
      <w:r w:rsidR="00C46469" w:rsidRPr="00F015DD">
        <w:rPr>
          <w:rFonts w:asciiTheme="majorHAnsi" w:hAnsiTheme="majorHAnsi" w:cs="Verdana"/>
          <w:color w:val="171717"/>
          <w:sz w:val="22"/>
          <w:szCs w:val="22"/>
          <w:u w:val="single"/>
          <w:lang w:val="fr-FR"/>
        </w:rPr>
        <w:t>aux Etats-</w:t>
      </w:r>
      <w:r w:rsidRPr="00F015DD">
        <w:rPr>
          <w:rFonts w:asciiTheme="majorHAnsi" w:hAnsiTheme="majorHAnsi" w:cs="Verdana"/>
          <w:color w:val="171717"/>
          <w:sz w:val="22"/>
          <w:szCs w:val="22"/>
          <w:u w:val="single"/>
          <w:lang w:val="fr-FR"/>
        </w:rPr>
        <w:t>Unis,</w:t>
      </w:r>
      <w:r w:rsidRPr="00F015DD">
        <w:rPr>
          <w:rFonts w:asciiTheme="majorHAnsi" w:hAnsiTheme="majorHAnsi" w:cs="Verdana"/>
          <w:color w:val="171717"/>
          <w:sz w:val="22"/>
          <w:szCs w:val="22"/>
          <w:lang w:val="fr-FR"/>
        </w:rPr>
        <w:t xml:space="preserve"> les requérants avaient publié deux articles</w:t>
      </w:r>
      <w:r w:rsidR="00806429" w:rsidRPr="00F015DD">
        <w:rPr>
          <w:rFonts w:asciiTheme="majorHAnsi" w:hAnsiTheme="majorHAnsi" w:cs="Verdana"/>
          <w:color w:val="171717"/>
          <w:sz w:val="22"/>
          <w:szCs w:val="22"/>
          <w:lang w:val="fr-FR"/>
        </w:rPr>
        <w:t>,</w:t>
      </w:r>
      <w:r w:rsidR="00265CC5" w:rsidRPr="00F015DD">
        <w:rPr>
          <w:rFonts w:asciiTheme="majorHAnsi" w:hAnsiTheme="majorHAnsi" w:cs="Verdana"/>
          <w:color w:val="171717"/>
          <w:sz w:val="22"/>
          <w:szCs w:val="22"/>
          <w:lang w:val="fr-FR"/>
        </w:rPr>
        <w:t xml:space="preserve"> </w:t>
      </w:r>
      <w:r w:rsidRPr="00F015DD">
        <w:rPr>
          <w:rFonts w:asciiTheme="majorHAnsi" w:hAnsiTheme="majorHAnsi" w:cs="Verdana"/>
          <w:color w:val="171717"/>
          <w:sz w:val="22"/>
          <w:szCs w:val="22"/>
          <w:lang w:val="fr-FR"/>
        </w:rPr>
        <w:t xml:space="preserve">qui ont été invoqués par les services de sécurité pour les allégations d'actes fautifs de la part de </w:t>
      </w:r>
      <w:proofErr w:type="spellStart"/>
      <w:r w:rsidR="00265CC5" w:rsidRPr="00F015DD">
        <w:rPr>
          <w:rFonts w:asciiTheme="majorHAnsi" w:hAnsiTheme="majorHAnsi" w:cs="Verdana"/>
          <w:color w:val="171717"/>
          <w:sz w:val="22"/>
          <w:szCs w:val="22"/>
          <w:lang w:val="fr-FR"/>
        </w:rPr>
        <w:t>Spycatcher</w:t>
      </w:r>
      <w:proofErr w:type="spellEnd"/>
      <w:r w:rsidR="00265CC5" w:rsidRPr="00F015DD">
        <w:rPr>
          <w:rFonts w:asciiTheme="majorHAnsi" w:hAnsiTheme="majorHAnsi" w:cs="Verdana"/>
          <w:color w:val="171717"/>
          <w:sz w:val="22"/>
          <w:szCs w:val="22"/>
          <w:lang w:val="fr-FR"/>
        </w:rPr>
        <w:t xml:space="preserve">. </w:t>
      </w:r>
      <w:r w:rsidRPr="00F015DD">
        <w:rPr>
          <w:rFonts w:asciiTheme="majorHAnsi" w:hAnsiTheme="majorHAnsi" w:cs="Verdana"/>
          <w:color w:val="171717"/>
          <w:sz w:val="22"/>
          <w:szCs w:val="22"/>
          <w:lang w:val="fr-FR"/>
        </w:rPr>
        <w:t xml:space="preserve">Les injonctions ont été accordées au motif que le procureur général cherchait à obtenir une interdiction permanente de la publication de </w:t>
      </w:r>
      <w:proofErr w:type="spellStart"/>
      <w:r w:rsidR="00265CC5" w:rsidRPr="00F015DD">
        <w:rPr>
          <w:rFonts w:asciiTheme="majorHAnsi" w:hAnsiTheme="majorHAnsi" w:cs="Verdana"/>
          <w:color w:val="171717"/>
          <w:sz w:val="22"/>
          <w:szCs w:val="22"/>
          <w:lang w:val="fr-FR"/>
        </w:rPr>
        <w:t>Spycatcher</w:t>
      </w:r>
      <w:proofErr w:type="spellEnd"/>
      <w:r w:rsidR="00265CC5" w:rsidRPr="00F015DD">
        <w:rPr>
          <w:rFonts w:asciiTheme="majorHAnsi" w:hAnsiTheme="majorHAnsi" w:cs="Verdana"/>
          <w:color w:val="171717"/>
          <w:sz w:val="22"/>
          <w:szCs w:val="22"/>
          <w:lang w:val="fr-FR"/>
        </w:rPr>
        <w:t xml:space="preserve">; </w:t>
      </w:r>
      <w:r w:rsidRPr="00F015DD">
        <w:rPr>
          <w:rFonts w:asciiTheme="majorHAnsi" w:hAnsiTheme="majorHAnsi" w:cs="Verdana"/>
          <w:color w:val="171717"/>
          <w:sz w:val="22"/>
          <w:szCs w:val="22"/>
          <w:lang w:val="fr-FR"/>
        </w:rPr>
        <w:t xml:space="preserve">refuser des injonctions interlocutoires reviendrait à </w:t>
      </w:r>
      <w:proofErr w:type="spellStart"/>
      <w:r w:rsidRPr="00F015DD">
        <w:rPr>
          <w:rFonts w:asciiTheme="majorHAnsi" w:hAnsiTheme="majorHAnsi" w:cs="Verdana"/>
          <w:color w:val="171717"/>
          <w:sz w:val="22"/>
          <w:szCs w:val="22"/>
          <w:lang w:val="fr-FR"/>
        </w:rPr>
        <w:t>refuter</w:t>
      </w:r>
      <w:proofErr w:type="spellEnd"/>
      <w:r w:rsidRPr="00F015DD">
        <w:rPr>
          <w:rFonts w:asciiTheme="majorHAnsi" w:hAnsiTheme="majorHAnsi" w:cs="Verdana"/>
          <w:color w:val="171717"/>
          <w:sz w:val="22"/>
          <w:szCs w:val="22"/>
          <w:lang w:val="fr-FR"/>
        </w:rPr>
        <w:t xml:space="preserve"> l'essence même de la procédure et partant la revendication de protection de la sécurité nationale</w:t>
      </w:r>
      <w:r w:rsidR="00265CC5" w:rsidRPr="00F015DD">
        <w:rPr>
          <w:rFonts w:asciiTheme="majorHAnsi" w:hAnsiTheme="majorHAnsi" w:cs="Verdana"/>
          <w:color w:val="171717"/>
          <w:sz w:val="22"/>
          <w:szCs w:val="22"/>
          <w:lang w:val="fr-FR"/>
        </w:rPr>
        <w:t xml:space="preserve">. </w:t>
      </w:r>
      <w:r w:rsidRPr="00F015DD">
        <w:rPr>
          <w:rFonts w:asciiTheme="majorHAnsi" w:hAnsiTheme="majorHAnsi" w:cs="Verdana"/>
          <w:color w:val="171717"/>
          <w:sz w:val="22"/>
          <w:szCs w:val="22"/>
          <w:lang w:val="fr-FR"/>
        </w:rPr>
        <w:t>Il s'agit là de raisons "pertinentes" en termes de protection de la sécurité nationale et d</w:t>
      </w:r>
      <w:r w:rsidR="00C46469" w:rsidRPr="00F015DD">
        <w:rPr>
          <w:rFonts w:asciiTheme="majorHAnsi" w:hAnsiTheme="majorHAnsi" w:cs="Verdana"/>
          <w:color w:val="171717"/>
          <w:sz w:val="22"/>
          <w:szCs w:val="22"/>
          <w:lang w:val="fr-FR"/>
        </w:rPr>
        <w:t>u</w:t>
      </w:r>
      <w:r w:rsidRPr="00F015DD">
        <w:rPr>
          <w:rFonts w:asciiTheme="majorHAnsi" w:hAnsiTheme="majorHAnsi" w:cs="Verdana"/>
          <w:color w:val="171717"/>
          <w:sz w:val="22"/>
          <w:szCs w:val="22"/>
          <w:lang w:val="fr-FR"/>
        </w:rPr>
        <w:t xml:space="preserve"> maintien de l'autorité du pouvoir judiciaire, et en ce qui concerne cette période, l'injonction pouvait être justifiée comme étant "nécessaire dans une société démocratique". </w:t>
      </w:r>
    </w:p>
    <w:p w14:paraId="408A5D0A" w14:textId="77777777" w:rsidR="00B107FC" w:rsidRPr="00F015DD" w:rsidRDefault="00B107FC" w:rsidP="00B107FC">
      <w:pPr>
        <w:widowControl w:val="0"/>
        <w:autoSpaceDE w:val="0"/>
        <w:autoSpaceDN w:val="0"/>
        <w:adjustRightInd w:val="0"/>
        <w:jc w:val="both"/>
        <w:rPr>
          <w:rFonts w:asciiTheme="majorHAnsi" w:hAnsiTheme="majorHAnsi" w:cs="Verdana"/>
          <w:color w:val="171717"/>
          <w:sz w:val="22"/>
          <w:szCs w:val="22"/>
          <w:lang w:val="fr-FR"/>
        </w:rPr>
      </w:pPr>
    </w:p>
    <w:p w14:paraId="17202612" w14:textId="567FC600" w:rsidR="00265CC5" w:rsidRPr="00F015DD" w:rsidRDefault="005918F5" w:rsidP="00B107FC">
      <w:pPr>
        <w:pStyle w:val="ListParagraph"/>
        <w:widowControl w:val="0"/>
        <w:numPr>
          <w:ilvl w:val="0"/>
          <w:numId w:val="20"/>
        </w:numPr>
        <w:autoSpaceDE w:val="0"/>
        <w:autoSpaceDN w:val="0"/>
        <w:adjustRightInd w:val="0"/>
        <w:jc w:val="both"/>
        <w:rPr>
          <w:rFonts w:asciiTheme="majorHAnsi" w:hAnsiTheme="majorHAnsi" w:cs="Verdana"/>
          <w:color w:val="171717"/>
          <w:sz w:val="22"/>
          <w:szCs w:val="22"/>
          <w:lang w:val="fr-FR"/>
        </w:rPr>
      </w:pPr>
      <w:r w:rsidRPr="00F015DD">
        <w:rPr>
          <w:rFonts w:asciiTheme="majorHAnsi" w:hAnsiTheme="majorHAnsi" w:cs="Verdana"/>
          <w:color w:val="171717"/>
          <w:sz w:val="22"/>
          <w:szCs w:val="22"/>
          <w:lang w:val="fr-FR"/>
        </w:rPr>
        <w:t xml:space="preserve">Concernant la deuxième période, </w:t>
      </w:r>
      <w:r w:rsidRPr="00F015DD">
        <w:rPr>
          <w:rFonts w:asciiTheme="majorHAnsi" w:hAnsiTheme="majorHAnsi" w:cs="Verdana"/>
          <w:color w:val="171717"/>
          <w:sz w:val="22"/>
          <w:szCs w:val="22"/>
          <w:u w:val="single"/>
          <w:lang w:val="fr-FR"/>
        </w:rPr>
        <w:t xml:space="preserve">après la publication de </w:t>
      </w:r>
      <w:proofErr w:type="spellStart"/>
      <w:r w:rsidR="00265CC5" w:rsidRPr="00F015DD">
        <w:rPr>
          <w:rFonts w:asciiTheme="majorHAnsi" w:hAnsiTheme="majorHAnsi" w:cs="Verdana"/>
          <w:color w:val="171717"/>
          <w:sz w:val="22"/>
          <w:szCs w:val="22"/>
          <w:u w:val="single"/>
          <w:lang w:val="fr-FR"/>
        </w:rPr>
        <w:t>Spycatcher</w:t>
      </w:r>
      <w:proofErr w:type="spellEnd"/>
      <w:r w:rsidR="00265CC5" w:rsidRPr="00F015DD">
        <w:rPr>
          <w:rFonts w:asciiTheme="majorHAnsi" w:hAnsiTheme="majorHAnsi" w:cs="Verdana"/>
          <w:color w:val="171717"/>
          <w:sz w:val="22"/>
          <w:szCs w:val="22"/>
          <w:u w:val="single"/>
          <w:lang w:val="fr-FR"/>
        </w:rPr>
        <w:t xml:space="preserve"> </w:t>
      </w:r>
      <w:r w:rsidR="00C46469" w:rsidRPr="00F015DD">
        <w:rPr>
          <w:rFonts w:asciiTheme="majorHAnsi" w:hAnsiTheme="majorHAnsi" w:cs="Verdana"/>
          <w:color w:val="171717"/>
          <w:sz w:val="22"/>
          <w:szCs w:val="22"/>
          <w:u w:val="single"/>
          <w:lang w:val="fr-FR"/>
        </w:rPr>
        <w:t>aux Etats-</w:t>
      </w:r>
      <w:r w:rsidRPr="00F015DD">
        <w:rPr>
          <w:rFonts w:asciiTheme="majorHAnsi" w:hAnsiTheme="majorHAnsi" w:cs="Verdana"/>
          <w:color w:val="171717"/>
          <w:sz w:val="22"/>
          <w:szCs w:val="22"/>
          <w:u w:val="single"/>
          <w:lang w:val="fr-FR"/>
        </w:rPr>
        <w:t>Unis</w:t>
      </w:r>
      <w:r w:rsidR="00265CC5" w:rsidRPr="00F015DD">
        <w:rPr>
          <w:rFonts w:asciiTheme="majorHAnsi" w:hAnsiTheme="majorHAnsi" w:cs="Verdana"/>
          <w:color w:val="171717"/>
          <w:sz w:val="22"/>
          <w:szCs w:val="22"/>
          <w:lang w:val="fr-FR"/>
        </w:rPr>
        <w:t xml:space="preserve">, </w:t>
      </w:r>
      <w:r w:rsidRPr="00F015DD">
        <w:rPr>
          <w:rFonts w:asciiTheme="majorHAnsi" w:hAnsiTheme="majorHAnsi" w:cs="Verdana"/>
          <w:color w:val="171717"/>
          <w:sz w:val="22"/>
          <w:szCs w:val="22"/>
          <w:lang w:val="fr-FR"/>
        </w:rPr>
        <w:t>la cour a noté que l'affaire a subi une métamorphose</w:t>
      </w:r>
      <w:r w:rsidR="00265CC5" w:rsidRPr="00F015DD">
        <w:rPr>
          <w:rFonts w:asciiTheme="majorHAnsi" w:hAnsiTheme="majorHAnsi" w:cs="Verdana"/>
          <w:color w:val="171717"/>
          <w:sz w:val="22"/>
          <w:szCs w:val="22"/>
          <w:lang w:val="fr-FR"/>
        </w:rPr>
        <w:t xml:space="preserve">. </w:t>
      </w:r>
      <w:proofErr w:type="spellStart"/>
      <w:r w:rsidR="00265CC5" w:rsidRPr="00F015DD">
        <w:rPr>
          <w:rFonts w:asciiTheme="majorHAnsi" w:hAnsiTheme="majorHAnsi" w:cs="Verdana"/>
          <w:color w:val="171717"/>
          <w:sz w:val="22"/>
          <w:szCs w:val="22"/>
          <w:lang w:val="fr-FR"/>
        </w:rPr>
        <w:t>Spycatcher</w:t>
      </w:r>
      <w:proofErr w:type="spellEnd"/>
      <w:r w:rsidR="00265CC5" w:rsidRPr="00F015DD">
        <w:rPr>
          <w:rFonts w:asciiTheme="majorHAnsi" w:hAnsiTheme="majorHAnsi" w:cs="Verdana"/>
          <w:color w:val="171717"/>
          <w:sz w:val="22"/>
          <w:szCs w:val="22"/>
          <w:lang w:val="fr-FR"/>
        </w:rPr>
        <w:t xml:space="preserve"> </w:t>
      </w:r>
      <w:r w:rsidRPr="00F015DD">
        <w:rPr>
          <w:rFonts w:asciiTheme="majorHAnsi" w:hAnsiTheme="majorHAnsi" w:cs="Verdana"/>
          <w:color w:val="171717"/>
          <w:sz w:val="22"/>
          <w:szCs w:val="22"/>
          <w:lang w:val="fr-FR"/>
        </w:rPr>
        <w:t>a été publié aux</w:t>
      </w:r>
      <w:r w:rsidR="00C46469" w:rsidRPr="00F015DD">
        <w:rPr>
          <w:rFonts w:asciiTheme="majorHAnsi" w:hAnsiTheme="majorHAnsi" w:cs="Verdana"/>
          <w:color w:val="171717"/>
          <w:sz w:val="22"/>
          <w:szCs w:val="22"/>
          <w:lang w:val="fr-FR"/>
        </w:rPr>
        <w:t xml:space="preserve"> Etats-</w:t>
      </w:r>
      <w:r w:rsidRPr="00F015DD">
        <w:rPr>
          <w:rFonts w:asciiTheme="majorHAnsi" w:hAnsiTheme="majorHAnsi" w:cs="Verdana"/>
          <w:color w:val="171717"/>
          <w:sz w:val="22"/>
          <w:szCs w:val="22"/>
          <w:lang w:val="fr-FR"/>
        </w:rPr>
        <w:t>Unis le 14 juillet 1987</w:t>
      </w:r>
      <w:r w:rsidR="00265CC5" w:rsidRPr="00F015DD">
        <w:rPr>
          <w:rFonts w:asciiTheme="majorHAnsi" w:hAnsiTheme="majorHAnsi" w:cs="Verdana"/>
          <w:color w:val="171717"/>
          <w:sz w:val="22"/>
          <w:szCs w:val="22"/>
          <w:lang w:val="fr-FR"/>
        </w:rPr>
        <w:t xml:space="preserve">, </w:t>
      </w:r>
      <w:r w:rsidRPr="00F015DD">
        <w:rPr>
          <w:rFonts w:asciiTheme="majorHAnsi" w:hAnsiTheme="majorHAnsi" w:cs="Verdana"/>
          <w:color w:val="171717"/>
          <w:sz w:val="22"/>
          <w:szCs w:val="22"/>
          <w:lang w:val="fr-FR"/>
        </w:rPr>
        <w:t xml:space="preserve">ce qui revient à dire que </w:t>
      </w:r>
      <w:r w:rsidRPr="00F015DD">
        <w:rPr>
          <w:rFonts w:asciiTheme="majorHAnsi" w:hAnsiTheme="majorHAnsi" w:cs="Verdana"/>
          <w:color w:val="171717"/>
          <w:sz w:val="22"/>
          <w:szCs w:val="22"/>
          <w:u w:val="single"/>
          <w:lang w:val="fr-FR"/>
        </w:rPr>
        <w:t xml:space="preserve">la teneur du livre a cessé de faire l'objet de spéculations et que la confidentialité est </w:t>
      </w:r>
      <w:proofErr w:type="gramStart"/>
      <w:r w:rsidRPr="00F015DD">
        <w:rPr>
          <w:rFonts w:asciiTheme="majorHAnsi" w:hAnsiTheme="majorHAnsi" w:cs="Verdana"/>
          <w:color w:val="171717"/>
          <w:sz w:val="22"/>
          <w:szCs w:val="22"/>
          <w:u w:val="single"/>
          <w:lang w:val="fr-FR"/>
        </w:rPr>
        <w:t>brisée</w:t>
      </w:r>
      <w:proofErr w:type="gramEnd"/>
      <w:r w:rsidR="00265CC5" w:rsidRPr="00F015DD">
        <w:rPr>
          <w:rFonts w:asciiTheme="majorHAnsi" w:hAnsiTheme="majorHAnsi" w:cs="Verdana"/>
          <w:color w:val="171717"/>
          <w:sz w:val="22"/>
          <w:szCs w:val="22"/>
          <w:u w:val="single"/>
          <w:lang w:val="fr-FR"/>
        </w:rPr>
        <w:t xml:space="preserve">. </w:t>
      </w:r>
      <w:r w:rsidRPr="00F015DD">
        <w:rPr>
          <w:rFonts w:asciiTheme="majorHAnsi" w:hAnsiTheme="majorHAnsi" w:cs="Verdana"/>
          <w:color w:val="171717"/>
          <w:sz w:val="22"/>
          <w:szCs w:val="22"/>
          <w:u w:val="single"/>
          <w:lang w:val="fr-FR"/>
        </w:rPr>
        <w:t>La poursuite des injonctions après juillet 1987 a empê</w:t>
      </w:r>
      <w:r w:rsidR="00C7531D">
        <w:rPr>
          <w:rFonts w:asciiTheme="majorHAnsi" w:hAnsiTheme="majorHAnsi" w:cs="Verdana"/>
          <w:color w:val="171717"/>
          <w:sz w:val="22"/>
          <w:szCs w:val="22"/>
          <w:u w:val="single"/>
          <w:lang w:val="fr-FR"/>
        </w:rPr>
        <w:t>ché les journaux d'exercer leur</w:t>
      </w:r>
      <w:r w:rsidRPr="00F015DD">
        <w:rPr>
          <w:rFonts w:asciiTheme="majorHAnsi" w:hAnsiTheme="majorHAnsi" w:cs="Verdana"/>
          <w:color w:val="171717"/>
          <w:sz w:val="22"/>
          <w:szCs w:val="22"/>
          <w:u w:val="single"/>
          <w:lang w:val="fr-FR"/>
        </w:rPr>
        <w:t xml:space="preserve"> droit et devoir de fournir des informations, déjà disponibles, sur une question légitime d'intérêt public</w:t>
      </w:r>
      <w:r w:rsidR="00265CC5" w:rsidRPr="00F015DD">
        <w:rPr>
          <w:rFonts w:asciiTheme="majorHAnsi" w:hAnsiTheme="majorHAnsi" w:cs="Verdana"/>
          <w:color w:val="171717"/>
          <w:sz w:val="22"/>
          <w:szCs w:val="22"/>
          <w:u w:val="single"/>
          <w:lang w:val="fr-FR"/>
        </w:rPr>
        <w:t xml:space="preserve">. </w:t>
      </w:r>
      <w:r w:rsidRPr="00F015DD">
        <w:rPr>
          <w:rFonts w:asciiTheme="majorHAnsi" w:hAnsiTheme="majorHAnsi" w:cs="Verdana"/>
          <w:color w:val="171717"/>
          <w:sz w:val="22"/>
          <w:szCs w:val="22"/>
          <w:u w:val="single"/>
          <w:lang w:val="fr-FR"/>
        </w:rPr>
        <w:t xml:space="preserve">Par conséquent, après le 30 juillet 1987, l'ingérence objet de la plainte n'était plus "nécessaire dans une société démocratique". </w:t>
      </w:r>
    </w:p>
    <w:p w14:paraId="4761476C" w14:textId="77777777" w:rsidR="00320F8B" w:rsidRPr="00F015DD" w:rsidRDefault="00320F8B" w:rsidP="008D3A17">
      <w:pPr>
        <w:widowControl w:val="0"/>
        <w:tabs>
          <w:tab w:val="left" w:pos="220"/>
          <w:tab w:val="left" w:pos="720"/>
        </w:tabs>
        <w:autoSpaceDE w:val="0"/>
        <w:autoSpaceDN w:val="0"/>
        <w:adjustRightInd w:val="0"/>
        <w:jc w:val="both"/>
        <w:rPr>
          <w:rFonts w:asciiTheme="majorHAnsi" w:hAnsiTheme="majorHAnsi" w:cs="Verdana"/>
          <w:color w:val="171717"/>
          <w:lang w:val="fr-FR"/>
        </w:rPr>
      </w:pPr>
    </w:p>
    <w:p w14:paraId="79FDCDA0" w14:textId="77777777" w:rsidR="008D3A17" w:rsidRPr="00F015DD" w:rsidRDefault="005918F5" w:rsidP="008D3A17">
      <w:pPr>
        <w:jc w:val="both"/>
        <w:rPr>
          <w:rFonts w:asciiTheme="majorHAnsi" w:hAnsiTheme="majorHAnsi"/>
          <w:b/>
          <w:i/>
          <w:szCs w:val="22"/>
          <w:lang w:val="fr-FR"/>
        </w:rPr>
      </w:pPr>
      <w:r w:rsidRPr="00F015DD">
        <w:rPr>
          <w:rFonts w:asciiTheme="majorHAnsi" w:hAnsiTheme="majorHAnsi"/>
          <w:b/>
          <w:i/>
          <w:szCs w:val="22"/>
          <w:lang w:val="fr-FR"/>
        </w:rPr>
        <w:t>Cour européenne des droits de l'homme</w:t>
      </w:r>
      <w:r w:rsidR="008D3A17" w:rsidRPr="00F015DD">
        <w:rPr>
          <w:rFonts w:asciiTheme="majorHAnsi" w:hAnsiTheme="majorHAnsi"/>
          <w:b/>
          <w:i/>
          <w:szCs w:val="22"/>
          <w:lang w:val="fr-FR"/>
        </w:rPr>
        <w:t xml:space="preserve">, </w:t>
      </w:r>
      <w:proofErr w:type="spellStart"/>
      <w:r w:rsidR="008D3A17" w:rsidRPr="00F015DD">
        <w:rPr>
          <w:rFonts w:asciiTheme="majorHAnsi" w:hAnsiTheme="majorHAnsi"/>
          <w:b/>
          <w:i/>
          <w:szCs w:val="22"/>
          <w:lang w:val="fr-FR"/>
        </w:rPr>
        <w:t>Vereniging</w:t>
      </w:r>
      <w:proofErr w:type="spellEnd"/>
      <w:r w:rsidR="008D3A17" w:rsidRPr="00F015DD">
        <w:rPr>
          <w:rFonts w:asciiTheme="majorHAnsi" w:hAnsiTheme="majorHAnsi"/>
          <w:b/>
          <w:i/>
          <w:szCs w:val="22"/>
          <w:lang w:val="fr-FR"/>
        </w:rPr>
        <w:t xml:space="preserve"> </w:t>
      </w:r>
      <w:proofErr w:type="spellStart"/>
      <w:r w:rsidR="008D3A17" w:rsidRPr="00F015DD">
        <w:rPr>
          <w:rFonts w:asciiTheme="majorHAnsi" w:hAnsiTheme="majorHAnsi"/>
          <w:b/>
          <w:i/>
          <w:szCs w:val="22"/>
          <w:lang w:val="fr-FR"/>
        </w:rPr>
        <w:t>Weekblad</w:t>
      </w:r>
      <w:proofErr w:type="spellEnd"/>
      <w:r w:rsidR="008D3A17" w:rsidRPr="00F015DD">
        <w:rPr>
          <w:rFonts w:asciiTheme="majorHAnsi" w:hAnsiTheme="majorHAnsi"/>
          <w:b/>
          <w:i/>
          <w:szCs w:val="22"/>
          <w:lang w:val="fr-FR"/>
        </w:rPr>
        <w:t xml:space="preserve"> </w:t>
      </w:r>
      <w:proofErr w:type="spellStart"/>
      <w:r w:rsidR="008D3A17" w:rsidRPr="00F015DD">
        <w:rPr>
          <w:rFonts w:asciiTheme="majorHAnsi" w:hAnsiTheme="majorHAnsi"/>
          <w:b/>
          <w:i/>
          <w:lang w:val="fr-FR"/>
        </w:rPr>
        <w:t>Bluf</w:t>
      </w:r>
      <w:proofErr w:type="spellEnd"/>
      <w:r w:rsidR="008D3A17" w:rsidRPr="00F015DD">
        <w:rPr>
          <w:rFonts w:asciiTheme="majorHAnsi" w:hAnsiTheme="majorHAnsi"/>
          <w:b/>
          <w:i/>
          <w:lang w:val="fr-FR"/>
        </w:rPr>
        <w:t>!</w:t>
      </w:r>
      <w:r w:rsidR="008D3A17" w:rsidRPr="00F015DD">
        <w:rPr>
          <w:rFonts w:asciiTheme="majorHAnsi" w:hAnsiTheme="majorHAnsi"/>
          <w:b/>
          <w:i/>
          <w:szCs w:val="22"/>
          <w:lang w:val="fr-FR"/>
        </w:rPr>
        <w:t xml:space="preserve"> </w:t>
      </w:r>
      <w:r w:rsidRPr="00F015DD">
        <w:rPr>
          <w:rFonts w:asciiTheme="majorHAnsi" w:hAnsiTheme="majorHAnsi"/>
          <w:b/>
          <w:i/>
          <w:szCs w:val="22"/>
          <w:lang w:val="fr-FR"/>
        </w:rPr>
        <w:t>c</w:t>
      </w:r>
      <w:r w:rsidR="008D3A17" w:rsidRPr="00F015DD">
        <w:rPr>
          <w:rFonts w:asciiTheme="majorHAnsi" w:hAnsiTheme="majorHAnsi"/>
          <w:b/>
          <w:i/>
          <w:szCs w:val="22"/>
          <w:lang w:val="fr-FR"/>
        </w:rPr>
        <w:t xml:space="preserve">. </w:t>
      </w:r>
      <w:r w:rsidRPr="00F015DD">
        <w:rPr>
          <w:rFonts w:asciiTheme="majorHAnsi" w:hAnsiTheme="majorHAnsi"/>
          <w:b/>
          <w:i/>
          <w:szCs w:val="22"/>
          <w:lang w:val="fr-FR"/>
        </w:rPr>
        <w:t>Pays-Bas</w:t>
      </w:r>
      <w:r w:rsidR="008D3A17" w:rsidRPr="00F015DD">
        <w:rPr>
          <w:rFonts w:asciiTheme="majorHAnsi" w:hAnsiTheme="majorHAnsi"/>
          <w:b/>
          <w:i/>
          <w:szCs w:val="22"/>
          <w:lang w:val="fr-FR"/>
        </w:rPr>
        <w:t>.</w:t>
      </w:r>
      <w:r w:rsidR="008D3A17" w:rsidRPr="00F015DD">
        <w:rPr>
          <w:rStyle w:val="FootnoteReference"/>
          <w:rFonts w:asciiTheme="majorHAnsi" w:hAnsiTheme="majorHAnsi"/>
          <w:b/>
          <w:szCs w:val="22"/>
          <w:lang w:val="fr-FR"/>
        </w:rPr>
        <w:footnoteReference w:id="37"/>
      </w:r>
      <w:r w:rsidR="008D3A17" w:rsidRPr="00F015DD">
        <w:rPr>
          <w:rFonts w:asciiTheme="majorHAnsi" w:hAnsiTheme="majorHAnsi"/>
          <w:b/>
          <w:i/>
          <w:szCs w:val="22"/>
          <w:lang w:val="fr-FR"/>
        </w:rPr>
        <w:t xml:space="preserve"> </w:t>
      </w:r>
    </w:p>
    <w:p w14:paraId="18C679B3" w14:textId="77777777" w:rsidR="008D3A17" w:rsidRPr="00F015DD" w:rsidRDefault="005918F5" w:rsidP="00895A91">
      <w:pPr>
        <w:jc w:val="both"/>
        <w:rPr>
          <w:rFonts w:asciiTheme="majorHAnsi" w:hAnsiTheme="majorHAnsi"/>
          <w:sz w:val="22"/>
          <w:szCs w:val="22"/>
          <w:lang w:val="fr-FR"/>
        </w:rPr>
      </w:pPr>
      <w:r w:rsidRPr="00F015DD">
        <w:rPr>
          <w:rFonts w:asciiTheme="majorHAnsi" w:hAnsiTheme="majorHAnsi"/>
          <w:sz w:val="22"/>
          <w:szCs w:val="22"/>
          <w:lang w:val="fr-FR"/>
        </w:rPr>
        <w:t xml:space="preserve">Le magazine avait mis la main sur un rapport </w:t>
      </w:r>
      <w:r w:rsidR="00895A91" w:rsidRPr="00F015DD">
        <w:rPr>
          <w:rFonts w:asciiTheme="majorHAnsi" w:hAnsiTheme="majorHAnsi"/>
          <w:sz w:val="22"/>
          <w:szCs w:val="22"/>
          <w:lang w:val="fr-FR"/>
        </w:rPr>
        <w:t xml:space="preserve">interne des services de sécurité </w:t>
      </w:r>
      <w:proofErr w:type="spellStart"/>
      <w:r w:rsidR="00895A91" w:rsidRPr="00F015DD">
        <w:rPr>
          <w:rFonts w:asciiTheme="majorHAnsi" w:hAnsiTheme="majorHAnsi"/>
          <w:sz w:val="22"/>
          <w:szCs w:val="22"/>
          <w:lang w:val="fr-FR"/>
        </w:rPr>
        <w:t>néérlandais</w:t>
      </w:r>
      <w:proofErr w:type="spellEnd"/>
      <w:r w:rsidR="00895A91" w:rsidRPr="00F015DD">
        <w:rPr>
          <w:rFonts w:asciiTheme="majorHAnsi" w:hAnsiTheme="majorHAnsi"/>
          <w:sz w:val="22"/>
          <w:szCs w:val="22"/>
          <w:lang w:val="fr-FR"/>
        </w:rPr>
        <w:t xml:space="preserve"> </w:t>
      </w:r>
      <w:r w:rsidR="008D3A17" w:rsidRPr="00F015DD">
        <w:rPr>
          <w:rFonts w:asciiTheme="majorHAnsi" w:hAnsiTheme="majorHAnsi"/>
          <w:sz w:val="22"/>
          <w:szCs w:val="22"/>
          <w:lang w:val="fr-FR"/>
        </w:rPr>
        <w:t xml:space="preserve">(BVD). </w:t>
      </w:r>
      <w:r w:rsidR="00C46469" w:rsidRPr="00F015DD">
        <w:rPr>
          <w:rFonts w:asciiTheme="majorHAnsi" w:hAnsiTheme="majorHAnsi"/>
          <w:sz w:val="22"/>
          <w:szCs w:val="22"/>
          <w:lang w:val="fr-FR"/>
        </w:rPr>
        <w:t>C</w:t>
      </w:r>
      <w:r w:rsidR="00895A91" w:rsidRPr="00F015DD">
        <w:rPr>
          <w:rFonts w:asciiTheme="majorHAnsi" w:hAnsiTheme="majorHAnsi"/>
          <w:sz w:val="22"/>
          <w:szCs w:val="22"/>
          <w:lang w:val="fr-FR"/>
        </w:rPr>
        <w:t>e rapport portait sur le degré de contrôle qu’avait le BVD sur le parti communiste et sur le mouvement anti-nucléaire. Le numéro spécial du magazine révélant des détails du rapport a été saisi. Toutefois, les plaques offset n’ont pas été saisies et le magazine avait tout simplement réimprimé le numéro en question</w:t>
      </w:r>
      <w:r w:rsidR="008D3A17" w:rsidRPr="00F015DD">
        <w:rPr>
          <w:rFonts w:asciiTheme="majorHAnsi" w:hAnsiTheme="majorHAnsi"/>
          <w:sz w:val="22"/>
          <w:szCs w:val="22"/>
          <w:lang w:val="fr-FR"/>
        </w:rPr>
        <w:t xml:space="preserve">. </w:t>
      </w:r>
      <w:r w:rsidR="00895A91" w:rsidRPr="00F015DD">
        <w:rPr>
          <w:rFonts w:asciiTheme="majorHAnsi" w:hAnsiTheme="majorHAnsi"/>
          <w:sz w:val="22"/>
          <w:szCs w:val="22"/>
          <w:lang w:val="fr-FR"/>
        </w:rPr>
        <w:t xml:space="preserve">Plus tard, une ordonnance du tribunal avait été obtenue interdisant le numéro de la circulation. </w:t>
      </w:r>
    </w:p>
    <w:p w14:paraId="11378433" w14:textId="77777777" w:rsidR="008D3A17" w:rsidRPr="00F015DD" w:rsidRDefault="008D3A17" w:rsidP="008D3A17">
      <w:pPr>
        <w:jc w:val="both"/>
        <w:rPr>
          <w:rFonts w:asciiTheme="majorHAnsi" w:hAnsiTheme="majorHAnsi"/>
          <w:sz w:val="22"/>
          <w:szCs w:val="22"/>
          <w:lang w:val="fr-FR"/>
        </w:rPr>
      </w:pPr>
    </w:p>
    <w:p w14:paraId="19D74689" w14:textId="522C4227" w:rsidR="008D3A17" w:rsidRPr="00F015DD" w:rsidRDefault="00895A91" w:rsidP="00565266">
      <w:pPr>
        <w:jc w:val="both"/>
        <w:rPr>
          <w:rFonts w:asciiTheme="majorHAnsi" w:hAnsiTheme="majorHAnsi"/>
          <w:sz w:val="22"/>
          <w:szCs w:val="22"/>
          <w:lang w:val="fr-FR"/>
        </w:rPr>
      </w:pPr>
      <w:r w:rsidRPr="00F015DD">
        <w:rPr>
          <w:rFonts w:asciiTheme="majorHAnsi" w:hAnsiTheme="majorHAnsi"/>
          <w:sz w:val="22"/>
          <w:szCs w:val="22"/>
          <w:lang w:val="fr-FR"/>
        </w:rPr>
        <w:t>La cour de Strasbourg</w:t>
      </w:r>
      <w:r w:rsidR="00C46469" w:rsidRPr="00F015DD">
        <w:rPr>
          <w:rFonts w:asciiTheme="majorHAnsi" w:hAnsiTheme="majorHAnsi"/>
          <w:sz w:val="22"/>
          <w:szCs w:val="22"/>
          <w:lang w:val="fr-FR"/>
        </w:rPr>
        <w:t xml:space="preserve"> a jugé que l’ordonnance interdi</w:t>
      </w:r>
      <w:r w:rsidRPr="00F015DD">
        <w:rPr>
          <w:rFonts w:asciiTheme="majorHAnsi" w:hAnsiTheme="majorHAnsi"/>
          <w:sz w:val="22"/>
          <w:szCs w:val="22"/>
          <w:lang w:val="fr-FR"/>
        </w:rPr>
        <w:t xml:space="preserve">sant le numéro de circulation </w:t>
      </w:r>
      <w:r w:rsidRPr="00F015DD">
        <w:rPr>
          <w:rFonts w:asciiTheme="majorHAnsi" w:hAnsiTheme="majorHAnsi"/>
          <w:sz w:val="22"/>
          <w:szCs w:val="22"/>
          <w:u w:val="single"/>
          <w:lang w:val="fr-FR"/>
        </w:rPr>
        <w:t>ne représentait pas une ingérence nécessaire dans l’ar</w:t>
      </w:r>
      <w:r w:rsidR="00C46469" w:rsidRPr="00F015DD">
        <w:rPr>
          <w:rFonts w:asciiTheme="majorHAnsi" w:hAnsiTheme="majorHAnsi"/>
          <w:sz w:val="22"/>
          <w:szCs w:val="22"/>
          <w:u w:val="single"/>
          <w:lang w:val="fr-FR"/>
        </w:rPr>
        <w:t>t</w:t>
      </w:r>
      <w:r w:rsidRPr="00F015DD">
        <w:rPr>
          <w:rFonts w:asciiTheme="majorHAnsi" w:hAnsiTheme="majorHAnsi"/>
          <w:sz w:val="22"/>
          <w:szCs w:val="22"/>
          <w:u w:val="single"/>
          <w:lang w:val="fr-FR"/>
        </w:rPr>
        <w:t>icle 10 étant donné que l’informatio</w:t>
      </w:r>
      <w:r w:rsidR="00C7531D">
        <w:rPr>
          <w:rFonts w:asciiTheme="majorHAnsi" w:hAnsiTheme="majorHAnsi"/>
          <w:sz w:val="22"/>
          <w:szCs w:val="22"/>
          <w:u w:val="single"/>
          <w:lang w:val="fr-FR"/>
        </w:rPr>
        <w:t>n contenue dans le numéro étai</w:t>
      </w:r>
      <w:r w:rsidRPr="00F015DD">
        <w:rPr>
          <w:rFonts w:asciiTheme="majorHAnsi" w:hAnsiTheme="majorHAnsi"/>
          <w:sz w:val="22"/>
          <w:szCs w:val="22"/>
          <w:u w:val="single"/>
          <w:lang w:val="fr-FR"/>
        </w:rPr>
        <w:t>t déjà connue par le public</w:t>
      </w:r>
      <w:r w:rsidRPr="00F015DD">
        <w:rPr>
          <w:rFonts w:asciiTheme="majorHAnsi" w:hAnsiTheme="majorHAnsi"/>
          <w:sz w:val="22"/>
          <w:szCs w:val="22"/>
          <w:lang w:val="fr-FR"/>
        </w:rPr>
        <w:t xml:space="preserve">. </w:t>
      </w:r>
      <w:r w:rsidR="008D3A17" w:rsidRPr="00F015DD">
        <w:rPr>
          <w:rFonts w:asciiTheme="majorHAnsi" w:hAnsiTheme="majorHAnsi"/>
          <w:sz w:val="22"/>
          <w:szCs w:val="22"/>
          <w:lang w:val="fr-FR"/>
        </w:rPr>
        <w:t>(</w:t>
      </w:r>
      <w:r w:rsidR="00565266" w:rsidRPr="00F015DD">
        <w:rPr>
          <w:rFonts w:asciiTheme="majorHAnsi" w:hAnsiTheme="majorHAnsi"/>
          <w:sz w:val="22"/>
          <w:szCs w:val="22"/>
          <w:lang w:val="fr-FR"/>
        </w:rPr>
        <w:t>La cour s’est même demandé</w:t>
      </w:r>
      <w:r w:rsidR="00C46469" w:rsidRPr="00F015DD">
        <w:rPr>
          <w:rFonts w:asciiTheme="majorHAnsi" w:hAnsiTheme="majorHAnsi"/>
          <w:sz w:val="22"/>
          <w:szCs w:val="22"/>
          <w:lang w:val="fr-FR"/>
        </w:rPr>
        <w:t>e</w:t>
      </w:r>
      <w:r w:rsidR="00565266" w:rsidRPr="00F015DD">
        <w:rPr>
          <w:rFonts w:asciiTheme="majorHAnsi" w:hAnsiTheme="majorHAnsi"/>
          <w:sz w:val="22"/>
          <w:szCs w:val="22"/>
          <w:lang w:val="fr-FR"/>
        </w:rPr>
        <w:t xml:space="preserve"> si le contenu était véritablement secret</w:t>
      </w:r>
      <w:r w:rsidR="008D3A17" w:rsidRPr="00F015DD">
        <w:rPr>
          <w:rFonts w:asciiTheme="majorHAnsi" w:hAnsiTheme="majorHAnsi"/>
          <w:sz w:val="22"/>
          <w:szCs w:val="22"/>
          <w:lang w:val="fr-FR"/>
        </w:rPr>
        <w:t>)</w:t>
      </w:r>
      <w:r w:rsidR="00565266" w:rsidRPr="00F015DD">
        <w:rPr>
          <w:rFonts w:asciiTheme="majorHAnsi" w:hAnsiTheme="majorHAnsi"/>
          <w:sz w:val="22"/>
          <w:szCs w:val="22"/>
          <w:lang w:val="fr-FR"/>
        </w:rPr>
        <w:t>.</w:t>
      </w:r>
      <w:r w:rsidR="008D3A17" w:rsidRPr="00F015DD">
        <w:rPr>
          <w:rFonts w:asciiTheme="majorHAnsi" w:hAnsiTheme="majorHAnsi"/>
          <w:sz w:val="22"/>
          <w:szCs w:val="22"/>
          <w:lang w:val="fr-FR"/>
        </w:rPr>
        <w:t xml:space="preserve"> </w:t>
      </w:r>
      <w:r w:rsidR="00565266" w:rsidRPr="00F015DD">
        <w:rPr>
          <w:rFonts w:asciiTheme="majorHAnsi" w:hAnsiTheme="majorHAnsi"/>
          <w:sz w:val="22"/>
          <w:szCs w:val="22"/>
          <w:lang w:val="fr-FR"/>
        </w:rPr>
        <w:t>Néanmoins, la cour a rejeté l’argument du magazine selon lequel l’article 10 empêcherait, dans tous les cas, un Etat de saisir et de retirer de la circulation une matière informationnelle</w:t>
      </w:r>
      <w:r w:rsidR="008D3A17" w:rsidRPr="00F015DD">
        <w:rPr>
          <w:rFonts w:asciiTheme="majorHAnsi" w:hAnsiTheme="majorHAnsi"/>
          <w:sz w:val="22"/>
          <w:szCs w:val="22"/>
          <w:lang w:val="fr-FR"/>
        </w:rPr>
        <w:t xml:space="preserve">. </w:t>
      </w:r>
      <w:r w:rsidR="00565266" w:rsidRPr="00F015DD">
        <w:rPr>
          <w:rFonts w:asciiTheme="majorHAnsi" w:hAnsiTheme="majorHAnsi"/>
          <w:sz w:val="22"/>
          <w:szCs w:val="22"/>
          <w:lang w:val="fr-FR"/>
        </w:rPr>
        <w:t xml:space="preserve">Les autorités nationales doivent avoir la latitude de prendre des mesures empêchant la divulgation des secrets lorsque cela est réellement nécessaire pour la sécurité nationale. </w:t>
      </w:r>
    </w:p>
    <w:p w14:paraId="72B9BD79" w14:textId="77777777" w:rsidR="0047018F" w:rsidRPr="00F015DD" w:rsidRDefault="0047018F" w:rsidP="008D3A17">
      <w:pPr>
        <w:widowControl w:val="0"/>
        <w:tabs>
          <w:tab w:val="left" w:pos="220"/>
          <w:tab w:val="left" w:pos="720"/>
        </w:tabs>
        <w:autoSpaceDE w:val="0"/>
        <w:autoSpaceDN w:val="0"/>
        <w:adjustRightInd w:val="0"/>
        <w:jc w:val="both"/>
        <w:rPr>
          <w:rFonts w:asciiTheme="majorHAnsi" w:hAnsiTheme="majorHAnsi" w:cs="Times"/>
          <w:b/>
          <w:i/>
          <w:iCs/>
          <w:lang w:val="fr-FR"/>
        </w:rPr>
      </w:pPr>
    </w:p>
    <w:p w14:paraId="5AA6C4A4" w14:textId="77777777" w:rsidR="00320F8B" w:rsidRPr="00F015DD" w:rsidRDefault="009E1682" w:rsidP="009E1682">
      <w:pPr>
        <w:widowControl w:val="0"/>
        <w:tabs>
          <w:tab w:val="left" w:pos="220"/>
          <w:tab w:val="left" w:pos="720"/>
        </w:tabs>
        <w:autoSpaceDE w:val="0"/>
        <w:autoSpaceDN w:val="0"/>
        <w:adjustRightInd w:val="0"/>
        <w:jc w:val="both"/>
        <w:rPr>
          <w:rFonts w:asciiTheme="majorHAnsi" w:hAnsiTheme="majorHAnsi" w:cs="Times New Roman"/>
          <w:b/>
          <w:position w:val="16"/>
          <w:lang w:val="fr-FR"/>
        </w:rPr>
      </w:pPr>
      <w:r w:rsidRPr="00F015DD">
        <w:rPr>
          <w:rFonts w:asciiTheme="majorHAnsi" w:hAnsiTheme="majorHAnsi" w:cs="Times"/>
          <w:b/>
          <w:i/>
          <w:iCs/>
          <w:lang w:val="fr-FR"/>
        </w:rPr>
        <w:t>Cour européenne des droits de l’homme</w:t>
      </w:r>
      <w:r w:rsidR="00320F8B" w:rsidRPr="00F015DD">
        <w:rPr>
          <w:rFonts w:asciiTheme="majorHAnsi" w:hAnsiTheme="majorHAnsi" w:cs="Times"/>
          <w:b/>
          <w:i/>
          <w:iCs/>
          <w:lang w:val="fr-FR"/>
        </w:rPr>
        <w:t xml:space="preserve">, </w:t>
      </w:r>
      <w:proofErr w:type="spellStart"/>
      <w:r w:rsidR="00320F8B" w:rsidRPr="00F015DD">
        <w:rPr>
          <w:rFonts w:asciiTheme="majorHAnsi" w:hAnsiTheme="majorHAnsi" w:cs="Times"/>
          <w:b/>
          <w:i/>
          <w:iCs/>
          <w:lang w:val="fr-FR"/>
        </w:rPr>
        <w:t>Guja</w:t>
      </w:r>
      <w:proofErr w:type="spellEnd"/>
      <w:r w:rsidR="00320F8B" w:rsidRPr="00F015DD">
        <w:rPr>
          <w:rFonts w:asciiTheme="majorHAnsi" w:hAnsiTheme="majorHAnsi" w:cs="Times"/>
          <w:b/>
          <w:i/>
          <w:iCs/>
          <w:lang w:val="fr-FR"/>
        </w:rPr>
        <w:t xml:space="preserve"> </w:t>
      </w:r>
      <w:r w:rsidRPr="00F015DD">
        <w:rPr>
          <w:rFonts w:asciiTheme="majorHAnsi" w:hAnsiTheme="majorHAnsi" w:cs="Times"/>
          <w:b/>
          <w:i/>
          <w:iCs/>
          <w:lang w:val="fr-FR"/>
        </w:rPr>
        <w:t>c.</w:t>
      </w:r>
      <w:r w:rsidR="00320F8B" w:rsidRPr="00F015DD">
        <w:rPr>
          <w:rFonts w:asciiTheme="majorHAnsi" w:hAnsiTheme="majorHAnsi" w:cs="Times"/>
          <w:b/>
          <w:i/>
          <w:iCs/>
          <w:lang w:val="fr-FR"/>
        </w:rPr>
        <w:t xml:space="preserve"> Mold</w:t>
      </w:r>
      <w:r w:rsidRPr="00F015DD">
        <w:rPr>
          <w:rFonts w:asciiTheme="majorHAnsi" w:hAnsiTheme="majorHAnsi" w:cs="Times"/>
          <w:b/>
          <w:i/>
          <w:iCs/>
          <w:lang w:val="fr-FR"/>
        </w:rPr>
        <w:t>avie</w:t>
      </w:r>
      <w:r w:rsidR="00320F8B" w:rsidRPr="00F015DD">
        <w:rPr>
          <w:rFonts w:asciiTheme="majorHAnsi" w:hAnsiTheme="majorHAnsi" w:cs="Times New Roman"/>
          <w:b/>
          <w:lang w:val="fr-FR"/>
        </w:rPr>
        <w:t xml:space="preserve"> (</w:t>
      </w:r>
      <w:proofErr w:type="spellStart"/>
      <w:r w:rsidR="00320F8B" w:rsidRPr="00F015DD">
        <w:rPr>
          <w:rFonts w:asciiTheme="majorHAnsi" w:hAnsiTheme="majorHAnsi" w:cs="Times"/>
          <w:b/>
          <w:i/>
          <w:iCs/>
          <w:lang w:val="fr-FR"/>
        </w:rPr>
        <w:t>Whistleblower</w:t>
      </w:r>
      <w:proofErr w:type="spellEnd"/>
      <w:r w:rsidR="00320F8B" w:rsidRPr="00F015DD">
        <w:rPr>
          <w:rFonts w:asciiTheme="majorHAnsi" w:hAnsiTheme="majorHAnsi" w:cs="Times"/>
          <w:b/>
          <w:i/>
          <w:iCs/>
          <w:lang w:val="fr-FR"/>
        </w:rPr>
        <w:t>)</w:t>
      </w:r>
    </w:p>
    <w:p w14:paraId="4AD2A0D1" w14:textId="06F2C017" w:rsidR="008D3A17" w:rsidRPr="00F015DD" w:rsidRDefault="009E1682" w:rsidP="009E1682">
      <w:pPr>
        <w:widowControl w:val="0"/>
        <w:tabs>
          <w:tab w:val="left" w:pos="220"/>
          <w:tab w:val="left" w:pos="720"/>
        </w:tabs>
        <w:autoSpaceDE w:val="0"/>
        <w:autoSpaceDN w:val="0"/>
        <w:adjustRightInd w:val="0"/>
        <w:jc w:val="both"/>
        <w:rPr>
          <w:rFonts w:asciiTheme="majorHAnsi" w:hAnsiTheme="majorHAnsi" w:cs="Times New Roman"/>
          <w:sz w:val="22"/>
          <w:szCs w:val="22"/>
          <w:lang w:val="fr-FR"/>
        </w:rPr>
      </w:pPr>
      <w:r w:rsidRPr="00F015DD">
        <w:rPr>
          <w:rFonts w:asciiTheme="majorHAnsi" w:hAnsiTheme="majorHAnsi" w:cs="Times New Roman"/>
          <w:sz w:val="22"/>
          <w:szCs w:val="22"/>
          <w:lang w:val="fr-FR"/>
        </w:rPr>
        <w:lastRenderedPageBreak/>
        <w:t xml:space="preserve">La cour européenne des droits de l’homme a examiné une plainte en matière de liberté d’expression portée par un fonctionnaire qui avait été licencié par son employeur après avoir divulgué aux médias deux lettres confidentielles ayant été envoyées au bureau du procureur général pour révéler une affaire de corruption politique. </w:t>
      </w:r>
    </w:p>
    <w:p w14:paraId="0D705895" w14:textId="77777777" w:rsidR="008D3A17" w:rsidRPr="00F015DD" w:rsidRDefault="008D3A17" w:rsidP="008D3A17">
      <w:pPr>
        <w:widowControl w:val="0"/>
        <w:tabs>
          <w:tab w:val="left" w:pos="220"/>
          <w:tab w:val="left" w:pos="720"/>
        </w:tabs>
        <w:autoSpaceDE w:val="0"/>
        <w:autoSpaceDN w:val="0"/>
        <w:adjustRightInd w:val="0"/>
        <w:jc w:val="both"/>
        <w:rPr>
          <w:rFonts w:asciiTheme="majorHAnsi" w:hAnsiTheme="majorHAnsi" w:cs="Times New Roman"/>
          <w:sz w:val="22"/>
          <w:szCs w:val="22"/>
          <w:lang w:val="fr-FR"/>
        </w:rPr>
      </w:pPr>
    </w:p>
    <w:p w14:paraId="2A02F9C3" w14:textId="05D954BE" w:rsidR="00320F8B" w:rsidRPr="00F015DD" w:rsidRDefault="009E1682" w:rsidP="007D2662">
      <w:pPr>
        <w:widowControl w:val="0"/>
        <w:tabs>
          <w:tab w:val="left" w:pos="220"/>
          <w:tab w:val="left" w:pos="720"/>
        </w:tabs>
        <w:autoSpaceDE w:val="0"/>
        <w:autoSpaceDN w:val="0"/>
        <w:adjustRightInd w:val="0"/>
        <w:jc w:val="both"/>
        <w:rPr>
          <w:rFonts w:asciiTheme="majorHAnsi" w:hAnsiTheme="majorHAnsi" w:cs="Times New Roman"/>
          <w:sz w:val="22"/>
          <w:szCs w:val="22"/>
          <w:lang w:val="fr-FR"/>
        </w:rPr>
      </w:pPr>
      <w:r w:rsidRPr="00F015DD">
        <w:rPr>
          <w:rFonts w:asciiTheme="majorHAnsi" w:hAnsiTheme="majorHAnsi" w:cs="Times New Roman"/>
          <w:sz w:val="22"/>
          <w:szCs w:val="22"/>
          <w:lang w:val="fr-FR"/>
        </w:rPr>
        <w:t>La cour a conclu à une violation de l’article 10</w:t>
      </w:r>
      <w:r w:rsidR="00D51148">
        <w:rPr>
          <w:rFonts w:asciiTheme="majorHAnsi" w:hAnsiTheme="majorHAnsi" w:cs="Times New Roman"/>
          <w:sz w:val="22"/>
          <w:szCs w:val="22"/>
          <w:lang w:val="fr-FR"/>
        </w:rPr>
        <w:t>. Elle a jug</w:t>
      </w:r>
      <w:r w:rsidR="00D51148" w:rsidRPr="00F015DD">
        <w:rPr>
          <w:rFonts w:asciiTheme="majorHAnsi" w:hAnsiTheme="majorHAnsi" w:cs="Times New Roman"/>
          <w:sz w:val="22"/>
          <w:szCs w:val="22"/>
          <w:lang w:val="fr-FR"/>
        </w:rPr>
        <w:t>é</w:t>
      </w:r>
      <w:r w:rsidR="00D51148">
        <w:rPr>
          <w:rFonts w:asciiTheme="majorHAnsi" w:hAnsiTheme="majorHAnsi" w:cs="Times New Roman"/>
          <w:sz w:val="22"/>
          <w:szCs w:val="22"/>
          <w:lang w:val="fr-FR"/>
        </w:rPr>
        <w:t xml:space="preserve"> </w:t>
      </w:r>
      <w:r w:rsidRPr="00F015DD">
        <w:rPr>
          <w:rFonts w:asciiTheme="majorHAnsi" w:hAnsiTheme="majorHAnsi" w:cs="Times New Roman"/>
          <w:sz w:val="22"/>
          <w:szCs w:val="22"/>
          <w:lang w:val="fr-FR"/>
        </w:rPr>
        <w:t xml:space="preserve">que les fonctionnaires </w:t>
      </w:r>
      <w:r w:rsidR="00041C4C" w:rsidRPr="00F015DD">
        <w:rPr>
          <w:rFonts w:asciiTheme="majorHAnsi" w:hAnsiTheme="majorHAnsi" w:cs="Times New Roman"/>
          <w:sz w:val="22"/>
          <w:szCs w:val="22"/>
          <w:lang w:val="fr-FR"/>
        </w:rPr>
        <w:t>jouissent du droit à la liberté d’expression et que lorsqu’il s’agit d’estimer la proportion</w:t>
      </w:r>
      <w:r w:rsidR="00C46469" w:rsidRPr="00F015DD">
        <w:rPr>
          <w:rFonts w:asciiTheme="majorHAnsi" w:hAnsiTheme="majorHAnsi" w:cs="Times New Roman"/>
          <w:sz w:val="22"/>
          <w:szCs w:val="22"/>
          <w:lang w:val="fr-FR"/>
        </w:rPr>
        <w:t>n</w:t>
      </w:r>
      <w:r w:rsidR="00041C4C" w:rsidRPr="00F015DD">
        <w:rPr>
          <w:rFonts w:asciiTheme="majorHAnsi" w:hAnsiTheme="majorHAnsi" w:cs="Times New Roman"/>
          <w:sz w:val="22"/>
          <w:szCs w:val="22"/>
          <w:lang w:val="fr-FR"/>
        </w:rPr>
        <w:t xml:space="preserve">alité de toute ingérence dans ce droit, il devient fondamental de prendre en considération </w:t>
      </w:r>
      <w:r w:rsidR="00041C4C" w:rsidRPr="00F015DD">
        <w:rPr>
          <w:rFonts w:asciiTheme="majorHAnsi" w:hAnsiTheme="majorHAnsi" w:cs="Times New Roman"/>
          <w:sz w:val="22"/>
          <w:szCs w:val="22"/>
          <w:u w:val="single"/>
          <w:lang w:val="fr-FR"/>
        </w:rPr>
        <w:t>l’intérêt public</w:t>
      </w:r>
      <w:r w:rsidR="00041C4C" w:rsidRPr="00F015DD">
        <w:rPr>
          <w:rFonts w:asciiTheme="majorHAnsi" w:hAnsiTheme="majorHAnsi" w:cs="Times New Roman"/>
          <w:sz w:val="22"/>
          <w:szCs w:val="22"/>
          <w:lang w:val="fr-FR"/>
        </w:rPr>
        <w:t xml:space="preserve"> impliqué dans la divulgation de l’information</w:t>
      </w:r>
      <w:r w:rsidR="00D51148">
        <w:rPr>
          <w:rFonts w:asciiTheme="majorHAnsi" w:hAnsiTheme="majorHAnsi" w:cs="Times New Roman"/>
          <w:sz w:val="22"/>
          <w:szCs w:val="22"/>
          <w:lang w:val="fr-FR"/>
        </w:rPr>
        <w:t xml:space="preserve">. La Court a déterminé que cet intérêt public peut être si sérieux </w:t>
      </w:r>
      <w:r w:rsidR="00041C4C" w:rsidRPr="00F015DD">
        <w:rPr>
          <w:rFonts w:asciiTheme="majorHAnsi" w:hAnsiTheme="majorHAnsi" w:cs="Times New Roman"/>
          <w:sz w:val="22"/>
          <w:szCs w:val="22"/>
          <w:lang w:val="fr-FR"/>
        </w:rPr>
        <w:t xml:space="preserve">au point de primer sur </w:t>
      </w:r>
      <w:r w:rsidR="00C46469" w:rsidRPr="00F015DD">
        <w:rPr>
          <w:rFonts w:asciiTheme="majorHAnsi" w:hAnsiTheme="majorHAnsi" w:cs="Times New Roman"/>
          <w:sz w:val="22"/>
          <w:szCs w:val="22"/>
          <w:lang w:val="fr-FR"/>
        </w:rPr>
        <w:t xml:space="preserve">le devoir de réserve des fonctionnaires </w:t>
      </w:r>
      <w:r w:rsidR="007D2662" w:rsidRPr="00F015DD">
        <w:rPr>
          <w:rFonts w:asciiTheme="majorHAnsi" w:hAnsiTheme="majorHAnsi" w:cs="Times New Roman"/>
          <w:sz w:val="22"/>
          <w:szCs w:val="22"/>
          <w:lang w:val="fr-FR"/>
        </w:rPr>
        <w:t>même pour les informations secrètes: l’intérêt que le public peut avoir dans une information particulière peut être tellement décisif qu’il passe outre le devoir de réserve imposé par la loi...</w:t>
      </w:r>
      <w:r w:rsidR="00320F8B" w:rsidRPr="00F015DD">
        <w:rPr>
          <w:rFonts w:asciiTheme="majorHAnsi" w:hAnsiTheme="majorHAnsi" w:cs="Times New Roman"/>
          <w:sz w:val="22"/>
          <w:szCs w:val="22"/>
          <w:lang w:val="fr-FR"/>
        </w:rPr>
        <w:t xml:space="preserve">  </w:t>
      </w:r>
    </w:p>
    <w:p w14:paraId="4F347911" w14:textId="77777777" w:rsidR="00320F8B" w:rsidRPr="00F015DD" w:rsidRDefault="00320F8B" w:rsidP="008D3A17">
      <w:pPr>
        <w:widowControl w:val="0"/>
        <w:tabs>
          <w:tab w:val="left" w:pos="220"/>
          <w:tab w:val="left" w:pos="720"/>
        </w:tabs>
        <w:autoSpaceDE w:val="0"/>
        <w:autoSpaceDN w:val="0"/>
        <w:adjustRightInd w:val="0"/>
        <w:jc w:val="both"/>
        <w:rPr>
          <w:rFonts w:asciiTheme="majorHAnsi" w:hAnsiTheme="majorHAnsi" w:cs="Times New Roman"/>
          <w:sz w:val="22"/>
          <w:szCs w:val="22"/>
          <w:lang w:val="fr-FR"/>
        </w:rPr>
      </w:pPr>
    </w:p>
    <w:p w14:paraId="2B15691A" w14:textId="77777777" w:rsidR="00320F8B" w:rsidRPr="00F015DD" w:rsidRDefault="007D2662" w:rsidP="001A550E">
      <w:pPr>
        <w:jc w:val="both"/>
        <w:rPr>
          <w:rFonts w:asciiTheme="majorHAnsi" w:hAnsiTheme="majorHAnsi"/>
          <w:b/>
          <w:szCs w:val="22"/>
          <w:lang w:val="fr-FR"/>
        </w:rPr>
      </w:pPr>
      <w:r w:rsidRPr="00F015DD">
        <w:rPr>
          <w:rFonts w:asciiTheme="majorHAnsi" w:hAnsiTheme="majorHAnsi"/>
          <w:b/>
          <w:i/>
          <w:szCs w:val="22"/>
          <w:lang w:val="fr-FR"/>
        </w:rPr>
        <w:t>Comité des droits de l’homme</w:t>
      </w:r>
      <w:r w:rsidR="00320F8B" w:rsidRPr="00F015DD">
        <w:rPr>
          <w:rFonts w:asciiTheme="majorHAnsi" w:hAnsiTheme="majorHAnsi"/>
          <w:b/>
          <w:i/>
          <w:szCs w:val="22"/>
          <w:lang w:val="fr-FR"/>
        </w:rPr>
        <w:t xml:space="preserve">, </w:t>
      </w:r>
      <w:proofErr w:type="spellStart"/>
      <w:r w:rsidR="00320F8B" w:rsidRPr="00F015DD">
        <w:rPr>
          <w:rFonts w:asciiTheme="majorHAnsi" w:hAnsiTheme="majorHAnsi"/>
          <w:b/>
          <w:i/>
          <w:szCs w:val="22"/>
          <w:lang w:val="fr-FR"/>
        </w:rPr>
        <w:t>Mukong</w:t>
      </w:r>
      <w:proofErr w:type="spellEnd"/>
      <w:r w:rsidR="00320F8B" w:rsidRPr="00F015DD">
        <w:rPr>
          <w:rFonts w:asciiTheme="majorHAnsi" w:hAnsiTheme="majorHAnsi"/>
          <w:b/>
          <w:i/>
          <w:szCs w:val="22"/>
          <w:lang w:val="fr-FR"/>
        </w:rPr>
        <w:t xml:space="preserve"> </w:t>
      </w:r>
      <w:r w:rsidR="001A550E" w:rsidRPr="00F015DD">
        <w:rPr>
          <w:rFonts w:asciiTheme="majorHAnsi" w:hAnsiTheme="majorHAnsi"/>
          <w:b/>
          <w:i/>
          <w:szCs w:val="22"/>
          <w:lang w:val="fr-FR"/>
        </w:rPr>
        <w:t>c</w:t>
      </w:r>
      <w:r w:rsidR="00320F8B" w:rsidRPr="00F015DD">
        <w:rPr>
          <w:rFonts w:asciiTheme="majorHAnsi" w:hAnsiTheme="majorHAnsi"/>
          <w:b/>
          <w:i/>
          <w:szCs w:val="22"/>
          <w:lang w:val="fr-FR"/>
        </w:rPr>
        <w:t>. Camer</w:t>
      </w:r>
      <w:r w:rsidR="001A550E" w:rsidRPr="00F015DD">
        <w:rPr>
          <w:rFonts w:asciiTheme="majorHAnsi" w:hAnsiTheme="majorHAnsi"/>
          <w:b/>
          <w:i/>
          <w:szCs w:val="22"/>
          <w:lang w:val="fr-FR"/>
        </w:rPr>
        <w:t>ou</w:t>
      </w:r>
      <w:r w:rsidR="00320F8B" w:rsidRPr="00F015DD">
        <w:rPr>
          <w:rFonts w:asciiTheme="majorHAnsi" w:hAnsiTheme="majorHAnsi"/>
          <w:b/>
          <w:i/>
          <w:szCs w:val="22"/>
          <w:lang w:val="fr-FR"/>
        </w:rPr>
        <w:t>n</w:t>
      </w:r>
      <w:r w:rsidR="00320F8B" w:rsidRPr="00F015DD">
        <w:rPr>
          <w:rStyle w:val="FootnoteReference"/>
          <w:rFonts w:asciiTheme="majorHAnsi" w:hAnsiTheme="majorHAnsi"/>
          <w:b/>
          <w:i/>
          <w:szCs w:val="22"/>
          <w:lang w:val="fr-FR"/>
        </w:rPr>
        <w:footnoteReference w:id="38"/>
      </w:r>
      <w:r w:rsidR="00320F8B" w:rsidRPr="00F015DD">
        <w:rPr>
          <w:rFonts w:asciiTheme="majorHAnsi" w:hAnsiTheme="majorHAnsi"/>
          <w:b/>
          <w:szCs w:val="22"/>
          <w:lang w:val="fr-FR"/>
        </w:rPr>
        <w:t xml:space="preserve"> </w:t>
      </w:r>
    </w:p>
    <w:p w14:paraId="6F6DE1CF" w14:textId="77777777" w:rsidR="00320F8B" w:rsidRPr="00F015DD" w:rsidRDefault="00320F8B" w:rsidP="00915A38">
      <w:pPr>
        <w:jc w:val="both"/>
        <w:rPr>
          <w:rFonts w:asciiTheme="majorHAnsi" w:hAnsiTheme="majorHAnsi"/>
          <w:sz w:val="22"/>
          <w:szCs w:val="22"/>
          <w:lang w:val="fr-FR"/>
        </w:rPr>
      </w:pPr>
      <w:r w:rsidRPr="00F015DD">
        <w:rPr>
          <w:rFonts w:asciiTheme="majorHAnsi" w:hAnsiTheme="majorHAnsi"/>
          <w:sz w:val="22"/>
          <w:szCs w:val="22"/>
          <w:lang w:val="fr-FR"/>
        </w:rPr>
        <w:t xml:space="preserve">Albert </w:t>
      </w:r>
      <w:proofErr w:type="spellStart"/>
      <w:r w:rsidRPr="00F015DD">
        <w:rPr>
          <w:rFonts w:asciiTheme="majorHAnsi" w:hAnsiTheme="majorHAnsi"/>
          <w:sz w:val="22"/>
          <w:szCs w:val="22"/>
          <w:lang w:val="fr-FR"/>
        </w:rPr>
        <w:t>Mukong</w:t>
      </w:r>
      <w:proofErr w:type="spellEnd"/>
      <w:r w:rsidRPr="00F015DD">
        <w:rPr>
          <w:rFonts w:asciiTheme="majorHAnsi" w:hAnsiTheme="majorHAnsi"/>
          <w:sz w:val="22"/>
          <w:szCs w:val="22"/>
          <w:lang w:val="fr-FR"/>
        </w:rPr>
        <w:t xml:space="preserve"> </w:t>
      </w:r>
      <w:r w:rsidR="001A550E" w:rsidRPr="00F015DD">
        <w:rPr>
          <w:rFonts w:asciiTheme="majorHAnsi" w:hAnsiTheme="majorHAnsi"/>
          <w:sz w:val="22"/>
          <w:szCs w:val="22"/>
          <w:lang w:val="fr-FR"/>
        </w:rPr>
        <w:t xml:space="preserve">est journaliste et auteur qui </w:t>
      </w:r>
      <w:proofErr w:type="gramStart"/>
      <w:r w:rsidR="001A550E" w:rsidRPr="00F015DD">
        <w:rPr>
          <w:rFonts w:asciiTheme="majorHAnsi" w:hAnsiTheme="majorHAnsi"/>
          <w:sz w:val="22"/>
          <w:szCs w:val="22"/>
          <w:lang w:val="fr-FR"/>
        </w:rPr>
        <w:t>avait</w:t>
      </w:r>
      <w:proofErr w:type="gramEnd"/>
      <w:r w:rsidR="001A550E" w:rsidRPr="00F015DD">
        <w:rPr>
          <w:rFonts w:asciiTheme="majorHAnsi" w:hAnsiTheme="majorHAnsi"/>
          <w:sz w:val="22"/>
          <w:szCs w:val="22"/>
          <w:lang w:val="fr-FR"/>
        </w:rPr>
        <w:t xml:space="preserve"> parlé publiquement </w:t>
      </w:r>
      <w:r w:rsidR="00915A38" w:rsidRPr="00F015DD">
        <w:rPr>
          <w:rFonts w:asciiTheme="majorHAnsi" w:hAnsiTheme="majorHAnsi"/>
          <w:sz w:val="22"/>
          <w:szCs w:val="22"/>
          <w:lang w:val="fr-FR"/>
        </w:rPr>
        <w:t>pour critiquer</w:t>
      </w:r>
      <w:r w:rsidR="001A550E" w:rsidRPr="00F015DD">
        <w:rPr>
          <w:rFonts w:asciiTheme="majorHAnsi" w:hAnsiTheme="majorHAnsi"/>
          <w:sz w:val="22"/>
          <w:szCs w:val="22"/>
          <w:lang w:val="fr-FR"/>
        </w:rPr>
        <w:t xml:space="preserve"> le président du Gouvernement</w:t>
      </w:r>
      <w:r w:rsidRPr="00F015DD">
        <w:rPr>
          <w:rFonts w:asciiTheme="majorHAnsi" w:hAnsiTheme="majorHAnsi"/>
          <w:sz w:val="22"/>
          <w:szCs w:val="22"/>
          <w:lang w:val="fr-FR"/>
        </w:rPr>
        <w:t>.</w:t>
      </w:r>
      <w:r w:rsidRPr="00F015DD">
        <w:rPr>
          <w:rStyle w:val="FootnoteReference"/>
          <w:rFonts w:asciiTheme="majorHAnsi" w:hAnsiTheme="majorHAnsi"/>
          <w:sz w:val="22"/>
          <w:szCs w:val="22"/>
          <w:lang w:val="fr-FR"/>
        </w:rPr>
        <w:t xml:space="preserve"> </w:t>
      </w:r>
      <w:r w:rsidRPr="00F015DD">
        <w:rPr>
          <w:rStyle w:val="FootnoteReference"/>
          <w:rFonts w:asciiTheme="majorHAnsi" w:hAnsiTheme="majorHAnsi"/>
          <w:sz w:val="22"/>
          <w:szCs w:val="22"/>
          <w:lang w:val="fr-FR"/>
        </w:rPr>
        <w:footnoteReference w:id="39"/>
      </w:r>
      <w:r w:rsidRPr="00F015DD">
        <w:rPr>
          <w:rFonts w:asciiTheme="majorHAnsi" w:hAnsiTheme="majorHAnsi"/>
          <w:sz w:val="22"/>
          <w:szCs w:val="22"/>
          <w:lang w:val="fr-FR"/>
        </w:rPr>
        <w:t xml:space="preserve"> </w:t>
      </w:r>
      <w:r w:rsidR="00B3209D" w:rsidRPr="00F015DD">
        <w:rPr>
          <w:rFonts w:asciiTheme="majorHAnsi" w:hAnsiTheme="majorHAnsi"/>
          <w:sz w:val="22"/>
          <w:szCs w:val="22"/>
          <w:lang w:val="fr-FR"/>
        </w:rPr>
        <w:t xml:space="preserve">Il a été arrêté deux fois en vertu d’une loi criminalisant les déclarations </w:t>
      </w:r>
      <w:r w:rsidRPr="00F015DD">
        <w:rPr>
          <w:rFonts w:asciiTheme="majorHAnsi" w:hAnsiTheme="majorHAnsi"/>
          <w:sz w:val="22"/>
          <w:szCs w:val="22"/>
          <w:lang w:val="fr-FR"/>
        </w:rPr>
        <w:t>"</w:t>
      </w:r>
      <w:r w:rsidR="00B3209D" w:rsidRPr="00F015DD">
        <w:rPr>
          <w:rFonts w:asciiTheme="majorHAnsi" w:hAnsiTheme="majorHAnsi"/>
          <w:sz w:val="22"/>
          <w:szCs w:val="22"/>
          <w:lang w:val="fr-FR"/>
        </w:rPr>
        <w:t>qui contaminent l’opinion publique nationale ou internationale</w:t>
      </w:r>
      <w:r w:rsidRPr="00F015DD">
        <w:rPr>
          <w:rFonts w:asciiTheme="majorHAnsi" w:hAnsiTheme="majorHAnsi"/>
          <w:sz w:val="22"/>
          <w:szCs w:val="22"/>
          <w:lang w:val="fr-FR"/>
        </w:rPr>
        <w:t>."</w:t>
      </w:r>
    </w:p>
    <w:p w14:paraId="657CBA75" w14:textId="77777777" w:rsidR="00320F8B" w:rsidRPr="00F015DD" w:rsidRDefault="00320F8B" w:rsidP="008D3A17">
      <w:pPr>
        <w:jc w:val="both"/>
        <w:rPr>
          <w:rFonts w:asciiTheme="majorHAnsi" w:hAnsiTheme="majorHAnsi"/>
          <w:sz w:val="22"/>
          <w:szCs w:val="22"/>
          <w:lang w:val="fr-FR"/>
        </w:rPr>
      </w:pPr>
    </w:p>
    <w:p w14:paraId="7D0A08DF" w14:textId="093CC807" w:rsidR="00320F8B" w:rsidRPr="00F015DD" w:rsidRDefault="00B3209D" w:rsidP="00BC1769">
      <w:pPr>
        <w:jc w:val="both"/>
        <w:rPr>
          <w:rFonts w:asciiTheme="majorHAnsi" w:hAnsiTheme="majorHAnsi"/>
          <w:sz w:val="22"/>
          <w:szCs w:val="22"/>
          <w:lang w:val="fr-FR"/>
        </w:rPr>
      </w:pPr>
      <w:r w:rsidRPr="00F015DD">
        <w:rPr>
          <w:rFonts w:asciiTheme="majorHAnsi" w:hAnsiTheme="majorHAnsi"/>
          <w:sz w:val="22"/>
          <w:szCs w:val="22"/>
          <w:lang w:val="fr-FR"/>
        </w:rPr>
        <w:t xml:space="preserve">Le gouvernement a justifié les arrestations auprès du </w:t>
      </w:r>
      <w:r w:rsidR="00C46469" w:rsidRPr="00F015DD">
        <w:rPr>
          <w:rFonts w:asciiTheme="majorHAnsi" w:hAnsiTheme="majorHAnsi"/>
          <w:sz w:val="22"/>
          <w:szCs w:val="22"/>
          <w:lang w:val="fr-FR"/>
        </w:rPr>
        <w:t>c</w:t>
      </w:r>
      <w:r w:rsidRPr="00F015DD">
        <w:rPr>
          <w:rFonts w:asciiTheme="majorHAnsi" w:hAnsiTheme="majorHAnsi"/>
          <w:sz w:val="22"/>
          <w:szCs w:val="22"/>
          <w:lang w:val="fr-FR"/>
        </w:rPr>
        <w:t>omité par la préservation de la sécurité nationale</w:t>
      </w:r>
      <w:r w:rsidR="00320F8B" w:rsidRPr="00F015DD">
        <w:rPr>
          <w:rFonts w:asciiTheme="majorHAnsi" w:hAnsiTheme="majorHAnsi"/>
          <w:sz w:val="22"/>
          <w:szCs w:val="22"/>
          <w:lang w:val="fr-FR"/>
        </w:rPr>
        <w:t xml:space="preserve">. </w:t>
      </w:r>
      <w:r w:rsidRPr="00F015DD">
        <w:rPr>
          <w:rFonts w:asciiTheme="majorHAnsi" w:hAnsiTheme="majorHAnsi"/>
          <w:sz w:val="22"/>
          <w:szCs w:val="22"/>
          <w:lang w:val="fr-FR"/>
        </w:rPr>
        <w:t>Le comité</w:t>
      </w:r>
      <w:r w:rsidR="00915A38" w:rsidRPr="00F015DD">
        <w:rPr>
          <w:rFonts w:asciiTheme="majorHAnsi" w:hAnsiTheme="majorHAnsi"/>
          <w:sz w:val="22"/>
          <w:szCs w:val="22"/>
          <w:lang w:val="fr-FR"/>
        </w:rPr>
        <w:t xml:space="preserve"> a exprimé son désaccord</w:t>
      </w:r>
      <w:r w:rsidR="00320F8B" w:rsidRPr="00F015DD">
        <w:rPr>
          <w:rFonts w:asciiTheme="majorHAnsi" w:hAnsiTheme="majorHAnsi"/>
          <w:sz w:val="22"/>
          <w:szCs w:val="22"/>
          <w:lang w:val="fr-FR"/>
        </w:rPr>
        <w:t xml:space="preserve">. </w:t>
      </w:r>
      <w:r w:rsidR="00D51148">
        <w:rPr>
          <w:rFonts w:asciiTheme="majorHAnsi" w:hAnsiTheme="majorHAnsi"/>
          <w:sz w:val="22"/>
          <w:szCs w:val="22"/>
          <w:lang w:val="fr-FR"/>
        </w:rPr>
        <w:t>Elle a insisté que l</w:t>
      </w:r>
      <w:r w:rsidR="00915A38" w:rsidRPr="00F015DD">
        <w:rPr>
          <w:rFonts w:asciiTheme="majorHAnsi" w:hAnsiTheme="majorHAnsi"/>
          <w:sz w:val="22"/>
          <w:szCs w:val="22"/>
          <w:lang w:val="fr-FR"/>
        </w:rPr>
        <w:t xml:space="preserve">es lois de cette ampleur qui </w:t>
      </w:r>
      <w:r w:rsidR="00F26A7A" w:rsidRPr="00F015DD">
        <w:rPr>
          <w:rFonts w:asciiTheme="majorHAnsi" w:hAnsiTheme="majorHAnsi"/>
          <w:sz w:val="22"/>
          <w:szCs w:val="22"/>
          <w:lang w:val="fr-FR"/>
        </w:rPr>
        <w:t xml:space="preserve"> </w:t>
      </w:r>
      <w:r w:rsidR="00320F8B" w:rsidRPr="00F015DD">
        <w:rPr>
          <w:rFonts w:asciiTheme="majorHAnsi" w:hAnsiTheme="majorHAnsi"/>
          <w:sz w:val="22"/>
          <w:szCs w:val="22"/>
          <w:lang w:val="fr-FR"/>
        </w:rPr>
        <w:t>"</w:t>
      </w:r>
      <w:r w:rsidR="00915A38" w:rsidRPr="00F015DD">
        <w:rPr>
          <w:rFonts w:asciiTheme="majorHAnsi" w:hAnsiTheme="majorHAnsi"/>
          <w:sz w:val="22"/>
          <w:szCs w:val="22"/>
          <w:lang w:val="fr-FR"/>
        </w:rPr>
        <w:t xml:space="preserve">musèle le plaidoyer </w:t>
      </w:r>
      <w:r w:rsidR="00F26A7A" w:rsidRPr="00F015DD">
        <w:rPr>
          <w:rFonts w:asciiTheme="majorHAnsi" w:hAnsiTheme="majorHAnsi"/>
          <w:sz w:val="22"/>
          <w:szCs w:val="22"/>
          <w:lang w:val="fr-FR"/>
        </w:rPr>
        <w:t xml:space="preserve">au profit </w:t>
      </w:r>
      <w:r w:rsidR="00BC1769" w:rsidRPr="00F015DD">
        <w:rPr>
          <w:rFonts w:asciiTheme="majorHAnsi" w:hAnsiTheme="majorHAnsi"/>
          <w:sz w:val="22"/>
          <w:szCs w:val="22"/>
          <w:lang w:val="fr-FR"/>
        </w:rPr>
        <w:t>de la</w:t>
      </w:r>
      <w:r w:rsidR="00F26A7A" w:rsidRPr="00F015DD">
        <w:rPr>
          <w:rFonts w:asciiTheme="majorHAnsi" w:hAnsiTheme="majorHAnsi"/>
          <w:sz w:val="22"/>
          <w:szCs w:val="22"/>
          <w:lang w:val="fr-FR"/>
        </w:rPr>
        <w:t xml:space="preserve"> démocratie multipartite</w:t>
      </w:r>
      <w:r w:rsidR="00320F8B" w:rsidRPr="00F015DD">
        <w:rPr>
          <w:rFonts w:asciiTheme="majorHAnsi" w:hAnsiTheme="majorHAnsi"/>
          <w:sz w:val="22"/>
          <w:szCs w:val="22"/>
          <w:lang w:val="fr-FR"/>
        </w:rPr>
        <w:t xml:space="preserve">, </w:t>
      </w:r>
      <w:r w:rsidR="00BC1769" w:rsidRPr="00F015DD">
        <w:rPr>
          <w:rFonts w:asciiTheme="majorHAnsi" w:hAnsiTheme="majorHAnsi"/>
          <w:sz w:val="22"/>
          <w:szCs w:val="22"/>
          <w:lang w:val="fr-FR"/>
        </w:rPr>
        <w:t>des valeurs démocratique</w:t>
      </w:r>
      <w:r w:rsidR="00C46469" w:rsidRPr="00F015DD">
        <w:rPr>
          <w:rFonts w:asciiTheme="majorHAnsi" w:hAnsiTheme="majorHAnsi"/>
          <w:sz w:val="22"/>
          <w:szCs w:val="22"/>
          <w:lang w:val="fr-FR"/>
        </w:rPr>
        <w:t>s</w:t>
      </w:r>
      <w:r w:rsidR="00BC1769" w:rsidRPr="00F015DD">
        <w:rPr>
          <w:rFonts w:asciiTheme="majorHAnsi" w:hAnsiTheme="majorHAnsi"/>
          <w:sz w:val="22"/>
          <w:szCs w:val="22"/>
          <w:lang w:val="fr-FR"/>
        </w:rPr>
        <w:t xml:space="preserve"> et des droits de l’homme </w:t>
      </w:r>
      <w:r w:rsidR="00320F8B" w:rsidRPr="00F015DD">
        <w:rPr>
          <w:rFonts w:asciiTheme="majorHAnsi" w:hAnsiTheme="majorHAnsi"/>
          <w:sz w:val="22"/>
          <w:szCs w:val="22"/>
          <w:lang w:val="fr-FR"/>
        </w:rPr>
        <w:t xml:space="preserve">" </w:t>
      </w:r>
      <w:r w:rsidR="00BC1769" w:rsidRPr="00D51148">
        <w:rPr>
          <w:rFonts w:asciiTheme="majorHAnsi" w:hAnsiTheme="majorHAnsi"/>
          <w:sz w:val="22"/>
          <w:szCs w:val="22"/>
          <w:lang w:val="fr-FR"/>
        </w:rPr>
        <w:t xml:space="preserve">ne </w:t>
      </w:r>
      <w:r w:rsidR="00BC1769" w:rsidRPr="00F015DD">
        <w:rPr>
          <w:rFonts w:asciiTheme="majorHAnsi" w:hAnsiTheme="majorHAnsi"/>
          <w:color w:val="000000" w:themeColor="text1"/>
          <w:sz w:val="22"/>
          <w:szCs w:val="22"/>
          <w:lang w:val="fr-FR"/>
        </w:rPr>
        <w:t>peu</w:t>
      </w:r>
      <w:r w:rsidR="00C46469" w:rsidRPr="00F015DD">
        <w:rPr>
          <w:rFonts w:asciiTheme="majorHAnsi" w:hAnsiTheme="majorHAnsi"/>
          <w:color w:val="000000" w:themeColor="text1"/>
          <w:sz w:val="22"/>
          <w:szCs w:val="22"/>
          <w:lang w:val="fr-FR"/>
        </w:rPr>
        <w:t>ven</w:t>
      </w:r>
      <w:r w:rsidR="00BC1769" w:rsidRPr="00F015DD">
        <w:rPr>
          <w:rFonts w:asciiTheme="majorHAnsi" w:hAnsiTheme="majorHAnsi"/>
          <w:color w:val="000000" w:themeColor="text1"/>
          <w:sz w:val="22"/>
          <w:szCs w:val="22"/>
          <w:lang w:val="fr-FR"/>
        </w:rPr>
        <w:t>t pas être nécessaire</w:t>
      </w:r>
      <w:r w:rsidR="00C46469" w:rsidRPr="00F015DD">
        <w:rPr>
          <w:rFonts w:asciiTheme="majorHAnsi" w:hAnsiTheme="majorHAnsi"/>
          <w:color w:val="000000" w:themeColor="text1"/>
          <w:sz w:val="22"/>
          <w:szCs w:val="22"/>
          <w:lang w:val="fr-FR"/>
        </w:rPr>
        <w:t>s</w:t>
      </w:r>
      <w:r w:rsidR="00320F8B" w:rsidRPr="00F015DD">
        <w:rPr>
          <w:rFonts w:asciiTheme="majorHAnsi" w:hAnsiTheme="majorHAnsi"/>
          <w:sz w:val="22"/>
          <w:szCs w:val="22"/>
          <w:lang w:val="fr-FR"/>
        </w:rPr>
        <w:t>.</w:t>
      </w:r>
      <w:r w:rsidR="00320F8B" w:rsidRPr="00F015DD">
        <w:rPr>
          <w:rStyle w:val="FootnoteReference"/>
          <w:rFonts w:asciiTheme="majorHAnsi" w:hAnsiTheme="majorHAnsi"/>
          <w:sz w:val="22"/>
          <w:szCs w:val="22"/>
          <w:lang w:val="fr-FR"/>
        </w:rPr>
        <w:footnoteReference w:id="40"/>
      </w:r>
    </w:p>
    <w:p w14:paraId="05034236" w14:textId="77777777" w:rsidR="00656CFD" w:rsidRPr="00F015DD" w:rsidRDefault="00656CFD" w:rsidP="008D3A17">
      <w:pPr>
        <w:jc w:val="both"/>
        <w:rPr>
          <w:rFonts w:asciiTheme="majorHAnsi" w:hAnsiTheme="majorHAnsi"/>
          <w:sz w:val="22"/>
          <w:szCs w:val="22"/>
          <w:lang w:val="fr-FR"/>
        </w:rPr>
      </w:pPr>
    </w:p>
    <w:p w14:paraId="690FB402" w14:textId="7BD25BF4" w:rsidR="00656CFD" w:rsidRPr="00F015DD" w:rsidRDefault="00BC1769" w:rsidP="0035420E">
      <w:pPr>
        <w:jc w:val="both"/>
        <w:rPr>
          <w:rFonts w:asciiTheme="majorHAnsi" w:hAnsiTheme="majorHAnsi" w:cs="Times"/>
          <w:sz w:val="22"/>
          <w:szCs w:val="22"/>
          <w:lang w:val="fr-FR"/>
        </w:rPr>
      </w:pPr>
      <w:r w:rsidRPr="00F015DD">
        <w:rPr>
          <w:rFonts w:asciiTheme="majorHAnsi" w:hAnsiTheme="majorHAnsi" w:cs="Times"/>
          <w:sz w:val="22"/>
          <w:szCs w:val="22"/>
          <w:lang w:val="fr-FR"/>
        </w:rPr>
        <w:t xml:space="preserve">Le gouvernement avait indirectement justifié ses actions en invoquant la sécurité nationale et/ou l’ordre public et faisant valoir le fait que le droit de l’auteur à la liberté d’expression avait été exercé sans se soucier du contexte politique </w:t>
      </w:r>
      <w:r w:rsidR="0035420E" w:rsidRPr="00F015DD">
        <w:rPr>
          <w:rFonts w:asciiTheme="majorHAnsi" w:hAnsiTheme="majorHAnsi" w:cs="Times"/>
          <w:sz w:val="22"/>
          <w:szCs w:val="22"/>
          <w:lang w:val="fr-FR"/>
        </w:rPr>
        <w:t>d</w:t>
      </w:r>
      <w:r w:rsidRPr="00F015DD">
        <w:rPr>
          <w:rFonts w:asciiTheme="majorHAnsi" w:hAnsiTheme="majorHAnsi" w:cs="Times"/>
          <w:sz w:val="22"/>
          <w:szCs w:val="22"/>
          <w:lang w:val="fr-FR"/>
        </w:rPr>
        <w:t>u pays et de sa lutte continue pour l’unité</w:t>
      </w:r>
      <w:r w:rsidR="00D51148">
        <w:rPr>
          <w:rFonts w:asciiTheme="majorHAnsi" w:hAnsiTheme="majorHAnsi" w:cs="Times"/>
          <w:sz w:val="22"/>
          <w:szCs w:val="22"/>
          <w:lang w:val="fr-FR"/>
        </w:rPr>
        <w:t xml:space="preserve"> nationale</w:t>
      </w:r>
      <w:r w:rsidRPr="00F015DD">
        <w:rPr>
          <w:rFonts w:asciiTheme="majorHAnsi" w:hAnsiTheme="majorHAnsi" w:cs="Times"/>
          <w:sz w:val="22"/>
          <w:szCs w:val="22"/>
          <w:lang w:val="fr-FR"/>
        </w:rPr>
        <w:t xml:space="preserve">. </w:t>
      </w:r>
    </w:p>
    <w:p w14:paraId="1A7998E1" w14:textId="77777777" w:rsidR="00656CFD" w:rsidRPr="00F015DD" w:rsidRDefault="00656CFD" w:rsidP="008D3A17">
      <w:pPr>
        <w:jc w:val="both"/>
        <w:rPr>
          <w:rFonts w:asciiTheme="majorHAnsi" w:hAnsiTheme="majorHAnsi" w:cs="Times"/>
          <w:sz w:val="22"/>
          <w:szCs w:val="22"/>
          <w:lang w:val="fr-FR"/>
        </w:rPr>
      </w:pPr>
    </w:p>
    <w:p w14:paraId="45EAB5A5" w14:textId="76EC29E5" w:rsidR="00656CFD" w:rsidRPr="00F015DD" w:rsidRDefault="00BC1769" w:rsidP="0035597E">
      <w:pPr>
        <w:jc w:val="both"/>
        <w:rPr>
          <w:rFonts w:asciiTheme="majorHAnsi" w:hAnsiTheme="majorHAnsi"/>
          <w:lang w:val="fr-FR"/>
        </w:rPr>
      </w:pPr>
      <w:r w:rsidRPr="00F015DD">
        <w:rPr>
          <w:rFonts w:asciiTheme="majorHAnsi" w:hAnsiTheme="majorHAnsi" w:cs="Times"/>
          <w:sz w:val="22"/>
          <w:szCs w:val="22"/>
          <w:lang w:val="fr-FR"/>
        </w:rPr>
        <w:t xml:space="preserve">Le </w:t>
      </w:r>
      <w:r w:rsidR="00C46469" w:rsidRPr="00F015DD">
        <w:rPr>
          <w:rFonts w:asciiTheme="majorHAnsi" w:hAnsiTheme="majorHAnsi" w:cs="Times"/>
          <w:sz w:val="22"/>
          <w:szCs w:val="22"/>
          <w:lang w:val="fr-FR"/>
        </w:rPr>
        <w:t>c</w:t>
      </w:r>
      <w:r w:rsidRPr="00F015DD">
        <w:rPr>
          <w:rFonts w:asciiTheme="majorHAnsi" w:hAnsiTheme="majorHAnsi" w:cs="Times"/>
          <w:sz w:val="22"/>
          <w:szCs w:val="22"/>
          <w:lang w:val="fr-FR"/>
        </w:rPr>
        <w:t xml:space="preserve">omité a jugé qu’il </w:t>
      </w:r>
      <w:r w:rsidR="0035420E" w:rsidRPr="00F015DD">
        <w:rPr>
          <w:rFonts w:asciiTheme="majorHAnsi" w:hAnsiTheme="majorHAnsi" w:cs="Times"/>
          <w:sz w:val="22"/>
          <w:szCs w:val="22"/>
          <w:lang w:val="fr-FR"/>
        </w:rPr>
        <w:t>n’</w:t>
      </w:r>
      <w:r w:rsidRPr="00F015DD">
        <w:rPr>
          <w:rFonts w:asciiTheme="majorHAnsi" w:hAnsiTheme="majorHAnsi" w:cs="Times"/>
          <w:sz w:val="22"/>
          <w:szCs w:val="22"/>
          <w:lang w:val="fr-FR"/>
        </w:rPr>
        <w:t xml:space="preserve">était </w:t>
      </w:r>
      <w:r w:rsidR="0035420E" w:rsidRPr="00F015DD">
        <w:rPr>
          <w:rFonts w:asciiTheme="majorHAnsi" w:hAnsiTheme="majorHAnsi" w:cs="Times"/>
          <w:sz w:val="22"/>
          <w:szCs w:val="22"/>
          <w:lang w:val="fr-FR"/>
        </w:rPr>
        <w:t xml:space="preserve">pas </w:t>
      </w:r>
      <w:r w:rsidRPr="00F015DD">
        <w:rPr>
          <w:rFonts w:asciiTheme="majorHAnsi" w:hAnsiTheme="majorHAnsi" w:cs="Times"/>
          <w:sz w:val="22"/>
          <w:szCs w:val="22"/>
          <w:lang w:val="fr-FR"/>
        </w:rPr>
        <w:t xml:space="preserve">nécessaire de </w:t>
      </w:r>
      <w:r w:rsidR="0035420E" w:rsidRPr="00F015DD">
        <w:rPr>
          <w:rFonts w:asciiTheme="majorHAnsi" w:hAnsiTheme="majorHAnsi" w:cs="Times"/>
          <w:sz w:val="22"/>
          <w:szCs w:val="22"/>
          <w:lang w:val="fr-FR"/>
        </w:rPr>
        <w:t xml:space="preserve">protéger l’unité nationale et sa vulnérabilité allégée en soumettant l’auteur à l’arrestation et au maintien de sa détention en violation de l’article 7.  Par ailleurs, le </w:t>
      </w:r>
      <w:r w:rsidR="00C46469" w:rsidRPr="00F015DD">
        <w:rPr>
          <w:rFonts w:asciiTheme="majorHAnsi" w:hAnsiTheme="majorHAnsi" w:cs="Times"/>
          <w:sz w:val="22"/>
          <w:szCs w:val="22"/>
          <w:lang w:val="fr-FR"/>
        </w:rPr>
        <w:t>c</w:t>
      </w:r>
      <w:r w:rsidR="0035420E" w:rsidRPr="00F015DD">
        <w:rPr>
          <w:rFonts w:asciiTheme="majorHAnsi" w:hAnsiTheme="majorHAnsi" w:cs="Times"/>
          <w:sz w:val="22"/>
          <w:szCs w:val="22"/>
          <w:lang w:val="fr-FR"/>
        </w:rPr>
        <w:t xml:space="preserve">omité a estimé que </w:t>
      </w:r>
      <w:r w:rsidR="0035420E" w:rsidRPr="00F015DD">
        <w:rPr>
          <w:rFonts w:asciiTheme="majorHAnsi" w:hAnsiTheme="majorHAnsi" w:cs="Times"/>
          <w:sz w:val="22"/>
          <w:szCs w:val="22"/>
          <w:u w:val="single"/>
          <w:lang w:val="fr-FR"/>
        </w:rPr>
        <w:t xml:space="preserve">l’objectif légitime de la protection et du renforcement de l’unité nationale dans des circonstances politiques difficiles ne peut pas être atteint </w:t>
      </w:r>
      <w:r w:rsidR="00656CFD" w:rsidRPr="00F015DD">
        <w:rPr>
          <w:rFonts w:asciiTheme="majorHAnsi" w:hAnsiTheme="majorHAnsi" w:cs="Times"/>
          <w:sz w:val="22"/>
          <w:szCs w:val="22"/>
          <w:u w:val="single"/>
          <w:lang w:val="fr-FR"/>
        </w:rPr>
        <w:t xml:space="preserve"> </w:t>
      </w:r>
      <w:r w:rsidR="00D51148">
        <w:rPr>
          <w:rFonts w:asciiTheme="majorHAnsi" w:hAnsiTheme="majorHAnsi" w:cs="Times"/>
          <w:sz w:val="22"/>
          <w:szCs w:val="22"/>
          <w:u w:val="single"/>
          <w:lang w:val="fr-FR"/>
        </w:rPr>
        <w:t>en essayant de museler les p</w:t>
      </w:r>
      <w:r w:rsidR="0035420E" w:rsidRPr="00F015DD">
        <w:rPr>
          <w:rFonts w:asciiTheme="majorHAnsi" w:hAnsiTheme="majorHAnsi" w:cs="Times"/>
          <w:sz w:val="22"/>
          <w:szCs w:val="22"/>
          <w:u w:val="single"/>
          <w:lang w:val="fr-FR"/>
        </w:rPr>
        <w:t>l</w:t>
      </w:r>
      <w:r w:rsidR="00D51148">
        <w:rPr>
          <w:rFonts w:asciiTheme="majorHAnsi" w:hAnsiTheme="majorHAnsi" w:cs="Times"/>
          <w:sz w:val="22"/>
          <w:szCs w:val="22"/>
          <w:u w:val="single"/>
          <w:lang w:val="fr-FR"/>
        </w:rPr>
        <w:t>a</w:t>
      </w:r>
      <w:r w:rsidR="0035420E" w:rsidRPr="00F015DD">
        <w:rPr>
          <w:rFonts w:asciiTheme="majorHAnsi" w:hAnsiTheme="majorHAnsi" w:cs="Times"/>
          <w:sz w:val="22"/>
          <w:szCs w:val="22"/>
          <w:u w:val="single"/>
          <w:lang w:val="fr-FR"/>
        </w:rPr>
        <w:t>idoyer</w:t>
      </w:r>
      <w:r w:rsidR="00C46469" w:rsidRPr="00F015DD">
        <w:rPr>
          <w:rFonts w:asciiTheme="majorHAnsi" w:hAnsiTheme="majorHAnsi" w:cs="Times"/>
          <w:sz w:val="22"/>
          <w:szCs w:val="22"/>
          <w:u w:val="single"/>
          <w:lang w:val="fr-FR"/>
        </w:rPr>
        <w:t>s</w:t>
      </w:r>
      <w:r w:rsidR="0035420E" w:rsidRPr="00F015DD">
        <w:rPr>
          <w:rFonts w:asciiTheme="majorHAnsi" w:hAnsiTheme="majorHAnsi" w:cs="Times"/>
          <w:sz w:val="22"/>
          <w:szCs w:val="22"/>
          <w:u w:val="single"/>
          <w:lang w:val="fr-FR"/>
        </w:rPr>
        <w:t xml:space="preserve"> en faveur de la démocratie </w:t>
      </w:r>
      <w:r w:rsidR="0035420E" w:rsidRPr="00F015DD">
        <w:rPr>
          <w:rFonts w:asciiTheme="majorHAnsi" w:hAnsiTheme="majorHAnsi"/>
          <w:sz w:val="22"/>
          <w:szCs w:val="22"/>
          <w:u w:val="single"/>
          <w:lang w:val="fr-FR"/>
        </w:rPr>
        <w:t>multipartite, des valeurs démocratique</w:t>
      </w:r>
      <w:r w:rsidR="00C46469" w:rsidRPr="00F015DD">
        <w:rPr>
          <w:rFonts w:asciiTheme="majorHAnsi" w:hAnsiTheme="majorHAnsi"/>
          <w:sz w:val="22"/>
          <w:szCs w:val="22"/>
          <w:u w:val="single"/>
          <w:lang w:val="fr-FR"/>
        </w:rPr>
        <w:t>s</w:t>
      </w:r>
      <w:r w:rsidR="00D51148">
        <w:rPr>
          <w:rFonts w:asciiTheme="majorHAnsi" w:hAnsiTheme="majorHAnsi"/>
          <w:sz w:val="22"/>
          <w:szCs w:val="22"/>
          <w:u w:val="single"/>
          <w:lang w:val="fr-FR"/>
        </w:rPr>
        <w:t xml:space="preserve"> et des droits de l’H</w:t>
      </w:r>
      <w:r w:rsidR="0035420E" w:rsidRPr="00F015DD">
        <w:rPr>
          <w:rFonts w:asciiTheme="majorHAnsi" w:hAnsiTheme="majorHAnsi"/>
          <w:sz w:val="22"/>
          <w:szCs w:val="22"/>
          <w:u w:val="single"/>
          <w:lang w:val="fr-FR"/>
        </w:rPr>
        <w:t>omme</w:t>
      </w:r>
      <w:r w:rsidR="00A953E7" w:rsidRPr="00F015DD">
        <w:rPr>
          <w:rFonts w:asciiTheme="majorHAnsi" w:hAnsiTheme="majorHAnsi" w:cs="Times"/>
          <w:sz w:val="22"/>
          <w:szCs w:val="22"/>
          <w:u w:val="single"/>
          <w:lang w:val="fr-FR"/>
        </w:rPr>
        <w:t>.</w:t>
      </w:r>
      <w:r w:rsidR="00656CFD" w:rsidRPr="00F015DD">
        <w:rPr>
          <w:rFonts w:asciiTheme="majorHAnsi" w:hAnsiTheme="majorHAnsi" w:cs="Times"/>
          <w:sz w:val="22"/>
          <w:szCs w:val="22"/>
          <w:lang w:val="fr-FR"/>
        </w:rPr>
        <w:t xml:space="preserve"> </w:t>
      </w:r>
      <w:r w:rsidR="00A953E7" w:rsidRPr="00F015DD">
        <w:rPr>
          <w:rFonts w:asciiTheme="majorHAnsi" w:hAnsiTheme="majorHAnsi" w:cs="Times"/>
          <w:sz w:val="22"/>
          <w:szCs w:val="22"/>
          <w:lang w:val="fr-FR"/>
        </w:rPr>
        <w:t>A cet égard, la question de décider des mesures qui pourraient satisfaire au critère de la “nécessité”</w:t>
      </w:r>
      <w:r w:rsidR="00C46469" w:rsidRPr="00F015DD">
        <w:rPr>
          <w:rFonts w:asciiTheme="majorHAnsi" w:hAnsiTheme="majorHAnsi" w:cs="Times"/>
          <w:sz w:val="22"/>
          <w:szCs w:val="22"/>
          <w:lang w:val="fr-FR"/>
        </w:rPr>
        <w:t xml:space="preserve"> </w:t>
      </w:r>
      <w:r w:rsidR="00A953E7" w:rsidRPr="00F015DD">
        <w:rPr>
          <w:rFonts w:asciiTheme="majorHAnsi" w:hAnsiTheme="majorHAnsi" w:cs="Times"/>
          <w:sz w:val="22"/>
          <w:szCs w:val="22"/>
          <w:lang w:val="fr-FR"/>
        </w:rPr>
        <w:t>dans de telles situations ne se pose</w:t>
      </w:r>
      <w:r w:rsidR="00C46469" w:rsidRPr="00F015DD">
        <w:rPr>
          <w:rFonts w:asciiTheme="majorHAnsi" w:hAnsiTheme="majorHAnsi" w:cs="Times"/>
          <w:sz w:val="22"/>
          <w:szCs w:val="22"/>
          <w:lang w:val="fr-FR"/>
        </w:rPr>
        <w:t xml:space="preserve"> pas</w:t>
      </w:r>
      <w:r w:rsidR="00656CFD" w:rsidRPr="00F015DD">
        <w:rPr>
          <w:rFonts w:asciiTheme="majorHAnsi" w:hAnsiTheme="majorHAnsi" w:cs="Times"/>
          <w:sz w:val="22"/>
          <w:szCs w:val="22"/>
          <w:lang w:val="fr-FR"/>
        </w:rPr>
        <w:t xml:space="preserve">. </w:t>
      </w:r>
      <w:r w:rsidR="00A953E7" w:rsidRPr="00F015DD">
        <w:rPr>
          <w:rFonts w:asciiTheme="majorHAnsi" w:hAnsiTheme="majorHAnsi" w:cs="Times"/>
          <w:sz w:val="22"/>
          <w:szCs w:val="22"/>
          <w:lang w:val="fr-FR"/>
        </w:rPr>
        <w:t xml:space="preserve">Compte tenu des </w:t>
      </w:r>
      <w:proofErr w:type="spellStart"/>
      <w:r w:rsidR="00A953E7" w:rsidRPr="00F015DD">
        <w:rPr>
          <w:rFonts w:asciiTheme="majorHAnsi" w:hAnsiTheme="majorHAnsi" w:cs="Times"/>
          <w:sz w:val="22"/>
          <w:szCs w:val="22"/>
          <w:lang w:val="fr-FR"/>
        </w:rPr>
        <w:t>cir</w:t>
      </w:r>
      <w:r w:rsidR="00C46469" w:rsidRPr="00F015DD">
        <w:rPr>
          <w:rFonts w:asciiTheme="majorHAnsi" w:hAnsiTheme="majorHAnsi" w:cs="Times"/>
          <w:sz w:val="22"/>
          <w:szCs w:val="22"/>
          <w:lang w:val="fr-FR"/>
        </w:rPr>
        <w:t>c</w:t>
      </w:r>
      <w:r w:rsidR="00A953E7" w:rsidRPr="00F015DD">
        <w:rPr>
          <w:rFonts w:asciiTheme="majorHAnsi" w:hAnsiTheme="majorHAnsi" w:cs="Times"/>
          <w:sz w:val="22"/>
          <w:szCs w:val="22"/>
          <w:lang w:val="fr-FR"/>
        </w:rPr>
        <w:t>onctances</w:t>
      </w:r>
      <w:proofErr w:type="spellEnd"/>
      <w:r w:rsidR="00A953E7" w:rsidRPr="00F015DD">
        <w:rPr>
          <w:rFonts w:asciiTheme="majorHAnsi" w:hAnsiTheme="majorHAnsi" w:cs="Times"/>
          <w:sz w:val="22"/>
          <w:szCs w:val="22"/>
          <w:lang w:val="fr-FR"/>
        </w:rPr>
        <w:t xml:space="preserve"> dans le cas de cet auteur, le </w:t>
      </w:r>
      <w:r w:rsidR="00C46469" w:rsidRPr="00F015DD">
        <w:rPr>
          <w:rFonts w:asciiTheme="majorHAnsi" w:hAnsiTheme="majorHAnsi" w:cs="Times"/>
          <w:sz w:val="22"/>
          <w:szCs w:val="22"/>
          <w:lang w:val="fr-FR"/>
        </w:rPr>
        <w:t>c</w:t>
      </w:r>
      <w:r w:rsidR="00A953E7" w:rsidRPr="00F015DD">
        <w:rPr>
          <w:rFonts w:asciiTheme="majorHAnsi" w:hAnsiTheme="majorHAnsi" w:cs="Times"/>
          <w:sz w:val="22"/>
          <w:szCs w:val="22"/>
          <w:lang w:val="fr-FR"/>
        </w:rPr>
        <w:t xml:space="preserve">omité a conclu à une violation de l’article 19 du </w:t>
      </w:r>
      <w:r w:rsidR="0035597E" w:rsidRPr="00F015DD">
        <w:rPr>
          <w:rFonts w:asciiTheme="majorHAnsi" w:hAnsiTheme="majorHAnsi" w:cs="Times"/>
          <w:sz w:val="22"/>
          <w:szCs w:val="22"/>
          <w:lang w:val="fr-FR"/>
        </w:rPr>
        <w:t>P</w:t>
      </w:r>
      <w:r w:rsidR="00A953E7" w:rsidRPr="00F015DD">
        <w:rPr>
          <w:rFonts w:asciiTheme="majorHAnsi" w:hAnsiTheme="majorHAnsi" w:cs="Times"/>
          <w:sz w:val="22"/>
          <w:szCs w:val="22"/>
          <w:lang w:val="fr-FR"/>
        </w:rPr>
        <w:t>acte</w:t>
      </w:r>
      <w:r w:rsidR="00656CFD" w:rsidRPr="00F015DD">
        <w:rPr>
          <w:rFonts w:asciiTheme="majorHAnsi" w:hAnsiTheme="majorHAnsi" w:cs="Times"/>
          <w:sz w:val="22"/>
          <w:szCs w:val="22"/>
          <w:lang w:val="fr-FR"/>
        </w:rPr>
        <w:t>.</w:t>
      </w:r>
    </w:p>
    <w:p w14:paraId="584766D6" w14:textId="77777777" w:rsidR="0047018F" w:rsidRPr="00F015DD" w:rsidRDefault="0047018F" w:rsidP="0047018F">
      <w:pPr>
        <w:pStyle w:val="FootnoteText"/>
        <w:jc w:val="both"/>
        <w:rPr>
          <w:rFonts w:asciiTheme="majorHAnsi" w:hAnsiTheme="majorHAnsi"/>
          <w:sz w:val="24"/>
          <w:lang w:val="fr-FR"/>
        </w:rPr>
      </w:pPr>
    </w:p>
    <w:p w14:paraId="46410F29" w14:textId="77777777" w:rsidR="0046642E" w:rsidRPr="00F015DD" w:rsidRDefault="0035597E" w:rsidP="0047018F">
      <w:pPr>
        <w:rPr>
          <w:rFonts w:asciiTheme="majorHAnsi" w:hAnsiTheme="majorHAnsi"/>
          <w:b/>
          <w:sz w:val="28"/>
          <w:szCs w:val="28"/>
          <w:lang w:val="fr-FR"/>
        </w:rPr>
      </w:pPr>
      <w:r w:rsidRPr="00F015DD">
        <w:rPr>
          <w:rFonts w:asciiTheme="majorHAnsi" w:hAnsiTheme="majorHAnsi"/>
          <w:b/>
          <w:sz w:val="28"/>
          <w:szCs w:val="28"/>
          <w:lang w:val="fr-FR"/>
        </w:rPr>
        <w:t>Autres affaires</w:t>
      </w:r>
    </w:p>
    <w:p w14:paraId="48EF758E" w14:textId="77777777" w:rsidR="0046642E" w:rsidRPr="00F015DD" w:rsidRDefault="0046642E" w:rsidP="0047018F">
      <w:pPr>
        <w:rPr>
          <w:rFonts w:asciiTheme="majorHAnsi" w:hAnsiTheme="majorHAnsi"/>
          <w:b/>
          <w:lang w:val="fr-FR"/>
        </w:rPr>
      </w:pPr>
    </w:p>
    <w:p w14:paraId="257DA460" w14:textId="77777777" w:rsidR="0047018F" w:rsidRPr="00F015DD" w:rsidRDefault="0035597E" w:rsidP="0035597E">
      <w:pPr>
        <w:rPr>
          <w:rFonts w:asciiTheme="majorHAnsi" w:hAnsiTheme="majorHAnsi"/>
          <w:b/>
          <w:lang w:val="fr-FR"/>
        </w:rPr>
      </w:pPr>
      <w:r w:rsidRPr="00F015DD">
        <w:rPr>
          <w:rFonts w:asciiTheme="majorHAnsi" w:hAnsiTheme="majorHAnsi"/>
          <w:b/>
          <w:lang w:val="fr-FR"/>
        </w:rPr>
        <w:lastRenderedPageBreak/>
        <w:t xml:space="preserve">Cour suprême de </w:t>
      </w:r>
      <w:r w:rsidR="0047018F" w:rsidRPr="00F015DD">
        <w:rPr>
          <w:rFonts w:asciiTheme="majorHAnsi" w:hAnsiTheme="majorHAnsi"/>
          <w:b/>
          <w:lang w:val="fr-FR"/>
        </w:rPr>
        <w:t xml:space="preserve">Bombay, </w:t>
      </w:r>
      <w:r w:rsidR="00C46469" w:rsidRPr="00F015DD">
        <w:rPr>
          <w:rFonts w:asciiTheme="majorHAnsi" w:hAnsiTheme="majorHAnsi"/>
          <w:b/>
          <w:lang w:val="fr-FR"/>
        </w:rPr>
        <w:t>Ind</w:t>
      </w:r>
      <w:r w:rsidRPr="00F015DD">
        <w:rPr>
          <w:rFonts w:asciiTheme="majorHAnsi" w:hAnsiTheme="majorHAnsi"/>
          <w:b/>
          <w:lang w:val="fr-FR"/>
        </w:rPr>
        <w:t>e</w:t>
      </w:r>
      <w:r w:rsidR="0047018F" w:rsidRPr="00F015DD">
        <w:rPr>
          <w:rFonts w:asciiTheme="majorHAnsi" w:hAnsiTheme="majorHAnsi"/>
          <w:b/>
          <w:lang w:val="fr-FR"/>
        </w:rPr>
        <w:t xml:space="preserve">, Marathe </w:t>
      </w:r>
      <w:r w:rsidRPr="00F015DD">
        <w:rPr>
          <w:rFonts w:asciiTheme="majorHAnsi" w:hAnsiTheme="majorHAnsi"/>
          <w:b/>
          <w:lang w:val="fr-FR"/>
        </w:rPr>
        <w:t>c</w:t>
      </w:r>
      <w:r w:rsidR="0047018F" w:rsidRPr="00F015DD">
        <w:rPr>
          <w:rFonts w:asciiTheme="majorHAnsi" w:hAnsiTheme="majorHAnsi"/>
          <w:b/>
          <w:lang w:val="fr-FR"/>
        </w:rPr>
        <w:t xml:space="preserve">. </w:t>
      </w:r>
      <w:r w:rsidRPr="00F015DD">
        <w:rPr>
          <w:rFonts w:asciiTheme="majorHAnsi" w:hAnsiTheme="majorHAnsi"/>
          <w:b/>
          <w:lang w:val="fr-FR"/>
        </w:rPr>
        <w:t>Etat de</w:t>
      </w:r>
      <w:r w:rsidR="0047018F" w:rsidRPr="00F015DD">
        <w:rPr>
          <w:rFonts w:asciiTheme="majorHAnsi" w:hAnsiTheme="majorHAnsi"/>
          <w:b/>
          <w:lang w:val="fr-FR"/>
        </w:rPr>
        <w:t xml:space="preserve"> </w:t>
      </w:r>
      <w:proofErr w:type="spellStart"/>
      <w:r w:rsidR="0047018F" w:rsidRPr="00F015DD">
        <w:rPr>
          <w:rFonts w:asciiTheme="majorHAnsi" w:hAnsiTheme="majorHAnsi"/>
          <w:b/>
          <w:lang w:val="fr-FR"/>
        </w:rPr>
        <w:t>Maharshtra</w:t>
      </w:r>
      <w:proofErr w:type="spellEnd"/>
      <w:r w:rsidR="0047018F" w:rsidRPr="00F015DD">
        <w:rPr>
          <w:rStyle w:val="FootnoteReference"/>
          <w:rFonts w:asciiTheme="majorHAnsi" w:hAnsiTheme="majorHAnsi"/>
          <w:b/>
          <w:lang w:val="fr-FR"/>
        </w:rPr>
        <w:footnoteReference w:id="41"/>
      </w:r>
    </w:p>
    <w:p w14:paraId="6017BDE8" w14:textId="5356C32D" w:rsidR="0047018F" w:rsidRPr="00F015DD" w:rsidRDefault="0035597E" w:rsidP="007A7C45">
      <w:pPr>
        <w:jc w:val="both"/>
        <w:rPr>
          <w:rFonts w:asciiTheme="majorHAnsi" w:hAnsiTheme="majorHAnsi"/>
          <w:sz w:val="22"/>
          <w:szCs w:val="22"/>
          <w:lang w:val="fr-FR"/>
        </w:rPr>
      </w:pPr>
      <w:r w:rsidRPr="00F015DD">
        <w:rPr>
          <w:rFonts w:asciiTheme="majorHAnsi" w:hAnsiTheme="majorHAnsi"/>
          <w:sz w:val="22"/>
          <w:szCs w:val="22"/>
          <w:lang w:val="fr-FR"/>
        </w:rPr>
        <w:t xml:space="preserve">Un caricaturiste politique a publié en ligne plusieurs dessins </w:t>
      </w:r>
      <w:proofErr w:type="spellStart"/>
      <w:r w:rsidRPr="00F015DD">
        <w:rPr>
          <w:rFonts w:asciiTheme="majorHAnsi" w:hAnsiTheme="majorHAnsi"/>
          <w:sz w:val="22"/>
          <w:szCs w:val="22"/>
          <w:lang w:val="fr-FR"/>
        </w:rPr>
        <w:t>humouristiques</w:t>
      </w:r>
      <w:proofErr w:type="spellEnd"/>
      <w:r w:rsidRPr="00F015DD">
        <w:rPr>
          <w:rFonts w:asciiTheme="majorHAnsi" w:hAnsiTheme="majorHAnsi"/>
          <w:sz w:val="22"/>
          <w:szCs w:val="22"/>
          <w:lang w:val="fr-FR"/>
        </w:rPr>
        <w:t xml:space="preserve"> qui auraient diffamé le parlement indien et la constitution</w:t>
      </w:r>
      <w:r w:rsidR="00D51148">
        <w:rPr>
          <w:rFonts w:asciiTheme="majorHAnsi" w:hAnsiTheme="majorHAnsi"/>
          <w:sz w:val="22"/>
          <w:szCs w:val="22"/>
          <w:lang w:val="fr-FR"/>
        </w:rPr>
        <w:t>,</w:t>
      </w:r>
      <w:r w:rsidRPr="00F015DD">
        <w:rPr>
          <w:rFonts w:asciiTheme="majorHAnsi" w:hAnsiTheme="majorHAnsi"/>
          <w:sz w:val="22"/>
          <w:szCs w:val="22"/>
          <w:lang w:val="fr-FR"/>
        </w:rPr>
        <w:t xml:space="preserve"> et aurait diffusé des message</w:t>
      </w:r>
      <w:r w:rsidR="00D51148">
        <w:rPr>
          <w:rFonts w:asciiTheme="majorHAnsi" w:hAnsiTheme="majorHAnsi"/>
          <w:sz w:val="22"/>
          <w:szCs w:val="22"/>
          <w:lang w:val="fr-FR"/>
        </w:rPr>
        <w:t>s</w:t>
      </w:r>
      <w:r w:rsidRPr="00F015DD">
        <w:rPr>
          <w:rFonts w:asciiTheme="majorHAnsi" w:hAnsiTheme="majorHAnsi"/>
          <w:sz w:val="22"/>
          <w:szCs w:val="22"/>
          <w:lang w:val="fr-FR"/>
        </w:rPr>
        <w:t xml:space="preserve"> de haine contre le gouvernement. Il a été accusé de sédition en vertu </w:t>
      </w:r>
      <w:r w:rsidR="004609A7" w:rsidRPr="00F015DD">
        <w:rPr>
          <w:rFonts w:asciiTheme="majorHAnsi" w:hAnsiTheme="majorHAnsi"/>
          <w:sz w:val="22"/>
          <w:szCs w:val="22"/>
          <w:lang w:val="fr-FR"/>
        </w:rPr>
        <w:t>du paragraphe</w:t>
      </w:r>
      <w:r w:rsidRPr="00F015DD">
        <w:rPr>
          <w:rFonts w:asciiTheme="majorHAnsi" w:hAnsiTheme="majorHAnsi"/>
          <w:sz w:val="22"/>
          <w:szCs w:val="22"/>
          <w:lang w:val="fr-FR"/>
        </w:rPr>
        <w:t xml:space="preserve"> </w:t>
      </w:r>
      <w:r w:rsidR="0047018F" w:rsidRPr="00F015DD">
        <w:rPr>
          <w:rFonts w:asciiTheme="majorHAnsi" w:hAnsiTheme="majorHAnsi"/>
          <w:sz w:val="22"/>
          <w:szCs w:val="22"/>
          <w:lang w:val="fr-FR"/>
        </w:rPr>
        <w:t>124A </w:t>
      </w:r>
      <w:r w:rsidRPr="00F015DD">
        <w:rPr>
          <w:rFonts w:asciiTheme="majorHAnsi" w:hAnsiTheme="majorHAnsi"/>
          <w:sz w:val="22"/>
          <w:szCs w:val="22"/>
          <w:lang w:val="fr-FR"/>
        </w:rPr>
        <w:t xml:space="preserve">du code pénal indien. La loi </w:t>
      </w:r>
      <w:r w:rsidR="004609A7" w:rsidRPr="00F015DD">
        <w:rPr>
          <w:rFonts w:asciiTheme="majorHAnsi" w:hAnsiTheme="majorHAnsi"/>
          <w:sz w:val="22"/>
          <w:szCs w:val="22"/>
          <w:lang w:val="fr-FR"/>
        </w:rPr>
        <w:t>stipule que</w:t>
      </w:r>
      <w:r w:rsidRPr="00F015DD">
        <w:rPr>
          <w:rFonts w:asciiTheme="majorHAnsi" w:hAnsiTheme="majorHAnsi"/>
          <w:sz w:val="22"/>
          <w:szCs w:val="22"/>
          <w:lang w:val="fr-FR"/>
        </w:rPr>
        <w:t>: “</w:t>
      </w:r>
      <w:r w:rsidR="004609A7" w:rsidRPr="00F015DD">
        <w:rPr>
          <w:rFonts w:asciiTheme="majorHAnsi" w:hAnsiTheme="majorHAnsi"/>
          <w:sz w:val="22"/>
          <w:szCs w:val="22"/>
          <w:lang w:val="fr-FR"/>
        </w:rPr>
        <w:t>Q</w:t>
      </w:r>
      <w:r w:rsidRPr="00F015DD">
        <w:rPr>
          <w:rFonts w:asciiTheme="majorHAnsi" w:hAnsiTheme="majorHAnsi"/>
          <w:sz w:val="22"/>
          <w:szCs w:val="22"/>
          <w:lang w:val="fr-FR"/>
        </w:rPr>
        <w:t>uiconque</w:t>
      </w:r>
      <w:r w:rsidR="00D81F88" w:rsidRPr="00F015DD">
        <w:rPr>
          <w:rFonts w:asciiTheme="majorHAnsi" w:hAnsiTheme="majorHAnsi"/>
          <w:sz w:val="22"/>
          <w:szCs w:val="22"/>
          <w:lang w:val="fr-FR"/>
        </w:rPr>
        <w:t>, par des propos exprimé</w:t>
      </w:r>
      <w:r w:rsidR="004609A7" w:rsidRPr="00F015DD">
        <w:rPr>
          <w:rFonts w:asciiTheme="majorHAnsi" w:hAnsiTheme="majorHAnsi"/>
          <w:sz w:val="22"/>
          <w:szCs w:val="22"/>
          <w:lang w:val="fr-FR"/>
        </w:rPr>
        <w:t>s</w:t>
      </w:r>
      <w:r w:rsidR="00D81F88" w:rsidRPr="00F015DD">
        <w:rPr>
          <w:rFonts w:asciiTheme="majorHAnsi" w:hAnsiTheme="majorHAnsi"/>
          <w:sz w:val="22"/>
          <w:szCs w:val="22"/>
          <w:lang w:val="fr-FR"/>
        </w:rPr>
        <w:t xml:space="preserve"> oralement ou par écrit ou des signes, ou par </w:t>
      </w:r>
      <w:r w:rsidR="004609A7" w:rsidRPr="00F015DD">
        <w:rPr>
          <w:rFonts w:asciiTheme="majorHAnsi" w:hAnsiTheme="majorHAnsi"/>
          <w:sz w:val="22"/>
          <w:szCs w:val="22"/>
          <w:lang w:val="fr-FR"/>
        </w:rPr>
        <w:t xml:space="preserve">des </w:t>
      </w:r>
      <w:r w:rsidR="00D81F88" w:rsidRPr="00F015DD">
        <w:rPr>
          <w:rFonts w:asciiTheme="majorHAnsi" w:hAnsiTheme="majorHAnsi"/>
          <w:sz w:val="22"/>
          <w:szCs w:val="22"/>
          <w:lang w:val="fr-FR"/>
        </w:rPr>
        <w:t>moyens visuels ou autres moyens</w:t>
      </w:r>
      <w:r w:rsidR="004609A7" w:rsidRPr="00F015DD">
        <w:rPr>
          <w:rFonts w:asciiTheme="majorHAnsi" w:hAnsiTheme="majorHAnsi"/>
          <w:sz w:val="22"/>
          <w:szCs w:val="22"/>
          <w:lang w:val="fr-FR"/>
        </w:rPr>
        <w:t xml:space="preserve"> d’inciter à la haine ou à au mépris ou incite ou essaye d’inciter à la déloyauté envers le gouvernement légalement établi en Inde, sera puni d’une peine d’emprisonnement à perpétuité éventuellement assortie d’une amende ou d’une peine d’emprisonnement pouvant aller jusqu’à 3 ans assortie d’une amende, ou d’une amende.”   </w:t>
      </w:r>
      <w:r w:rsidR="00D81F88" w:rsidRPr="00F015DD">
        <w:rPr>
          <w:rFonts w:asciiTheme="majorHAnsi" w:hAnsiTheme="majorHAnsi"/>
          <w:sz w:val="22"/>
          <w:szCs w:val="22"/>
          <w:lang w:val="fr-FR"/>
        </w:rPr>
        <w:t xml:space="preserve"> </w:t>
      </w:r>
    </w:p>
    <w:p w14:paraId="09DD4E9E" w14:textId="77777777" w:rsidR="0047018F" w:rsidRPr="00F015DD" w:rsidRDefault="0047018F" w:rsidP="0047018F">
      <w:pPr>
        <w:jc w:val="both"/>
        <w:rPr>
          <w:rFonts w:asciiTheme="majorHAnsi" w:hAnsiTheme="majorHAnsi"/>
          <w:sz w:val="22"/>
          <w:szCs w:val="22"/>
          <w:lang w:val="fr-FR"/>
        </w:rPr>
      </w:pPr>
    </w:p>
    <w:p w14:paraId="0A1DB501" w14:textId="77777777" w:rsidR="0047018F" w:rsidRPr="00F015DD" w:rsidRDefault="004609A7" w:rsidP="00541F5E">
      <w:pPr>
        <w:jc w:val="both"/>
        <w:rPr>
          <w:rFonts w:asciiTheme="majorHAnsi" w:hAnsiTheme="majorHAnsi"/>
          <w:sz w:val="22"/>
          <w:szCs w:val="22"/>
          <w:lang w:val="fr-FR"/>
        </w:rPr>
      </w:pPr>
      <w:r w:rsidRPr="00F015DD">
        <w:rPr>
          <w:rFonts w:asciiTheme="majorHAnsi" w:hAnsiTheme="majorHAnsi"/>
          <w:sz w:val="22"/>
          <w:szCs w:val="22"/>
          <w:lang w:val="fr-FR"/>
        </w:rPr>
        <w:t xml:space="preserve">Les accusations ont été abandonnées mais la possibilité d’invoquer le paragraphe </w:t>
      </w:r>
      <w:r w:rsidR="0047018F" w:rsidRPr="00F015DD">
        <w:rPr>
          <w:rFonts w:asciiTheme="majorHAnsi" w:hAnsiTheme="majorHAnsi"/>
          <w:sz w:val="22"/>
          <w:szCs w:val="22"/>
          <w:lang w:val="fr-FR"/>
        </w:rPr>
        <w:t xml:space="preserve">124A </w:t>
      </w:r>
      <w:r w:rsidR="00541F5E" w:rsidRPr="00F015DD">
        <w:rPr>
          <w:rFonts w:asciiTheme="majorHAnsi" w:hAnsiTheme="majorHAnsi"/>
          <w:sz w:val="22"/>
          <w:szCs w:val="22"/>
          <w:lang w:val="fr-FR"/>
        </w:rPr>
        <w:t>pour restreindre la liberté d’expression était restée ouverte. Une pétition d’intérêt public a demandé à la cour suprême de Bombay d’examiner la légalité du paragraphe 124A dans son application à la liberté d’expression pour empêcher son invo</w:t>
      </w:r>
      <w:r w:rsidR="00C46469" w:rsidRPr="00F015DD">
        <w:rPr>
          <w:rFonts w:asciiTheme="majorHAnsi" w:hAnsiTheme="majorHAnsi"/>
          <w:sz w:val="22"/>
          <w:szCs w:val="22"/>
          <w:lang w:val="fr-FR"/>
        </w:rPr>
        <w:t>ca</w:t>
      </w:r>
      <w:r w:rsidR="00541F5E" w:rsidRPr="00F015DD">
        <w:rPr>
          <w:rFonts w:asciiTheme="majorHAnsi" w:hAnsiTheme="majorHAnsi"/>
          <w:sz w:val="22"/>
          <w:szCs w:val="22"/>
          <w:lang w:val="fr-FR"/>
        </w:rPr>
        <w:t xml:space="preserve">tion de manière arbitraire. </w:t>
      </w:r>
    </w:p>
    <w:p w14:paraId="30B5A448" w14:textId="77777777" w:rsidR="0047018F" w:rsidRPr="00F015DD" w:rsidRDefault="0047018F" w:rsidP="0047018F">
      <w:pPr>
        <w:jc w:val="both"/>
        <w:rPr>
          <w:rFonts w:asciiTheme="majorHAnsi" w:hAnsiTheme="majorHAnsi"/>
          <w:sz w:val="22"/>
          <w:szCs w:val="22"/>
          <w:lang w:val="fr-FR"/>
        </w:rPr>
      </w:pPr>
    </w:p>
    <w:p w14:paraId="436C2B7B" w14:textId="77777777" w:rsidR="0047018F" w:rsidRPr="00F015DD" w:rsidRDefault="00541F5E" w:rsidP="00CA5133">
      <w:pPr>
        <w:jc w:val="both"/>
        <w:rPr>
          <w:rFonts w:asciiTheme="majorHAnsi" w:hAnsiTheme="majorHAnsi"/>
          <w:sz w:val="22"/>
          <w:szCs w:val="22"/>
          <w:lang w:val="fr-FR"/>
        </w:rPr>
      </w:pPr>
      <w:r w:rsidRPr="00F015DD">
        <w:rPr>
          <w:rFonts w:asciiTheme="majorHAnsi" w:hAnsiTheme="majorHAnsi"/>
          <w:sz w:val="22"/>
          <w:szCs w:val="22"/>
          <w:lang w:val="fr-FR"/>
        </w:rPr>
        <w:t xml:space="preserve">Dans sa </w:t>
      </w:r>
      <w:proofErr w:type="spellStart"/>
      <w:r w:rsidRPr="00F015DD">
        <w:rPr>
          <w:rFonts w:asciiTheme="majorHAnsi" w:hAnsiTheme="majorHAnsi"/>
          <w:sz w:val="22"/>
          <w:szCs w:val="22"/>
          <w:lang w:val="fr-FR"/>
        </w:rPr>
        <w:t>décison</w:t>
      </w:r>
      <w:proofErr w:type="spellEnd"/>
      <w:r w:rsidR="007A7C45" w:rsidRPr="00F015DD">
        <w:rPr>
          <w:rFonts w:asciiTheme="majorHAnsi" w:hAnsiTheme="majorHAnsi"/>
          <w:sz w:val="22"/>
          <w:szCs w:val="22"/>
          <w:lang w:val="fr-FR"/>
        </w:rPr>
        <w:t xml:space="preserve">, </w:t>
      </w:r>
      <w:r w:rsidRPr="00F015DD">
        <w:rPr>
          <w:rFonts w:asciiTheme="majorHAnsi" w:hAnsiTheme="majorHAnsi"/>
          <w:sz w:val="22"/>
          <w:szCs w:val="22"/>
          <w:lang w:val="fr-FR"/>
        </w:rPr>
        <w:t xml:space="preserve">la cour suprême </w:t>
      </w:r>
      <w:r w:rsidR="007A7C45" w:rsidRPr="00F015DD">
        <w:rPr>
          <w:rFonts w:asciiTheme="majorHAnsi" w:hAnsiTheme="majorHAnsi"/>
          <w:sz w:val="22"/>
          <w:szCs w:val="22"/>
          <w:lang w:val="fr-FR"/>
        </w:rPr>
        <w:t xml:space="preserve">a souligné que seule l’expression qui incite à la haine et au mépris du gouvernement, ayant tendance à provoquer des troubles publics à travers une véritable violence ou l’incitation à la violence est punissable en vertu du paragraphe </w:t>
      </w:r>
      <w:r w:rsidR="0047018F" w:rsidRPr="00F015DD">
        <w:rPr>
          <w:rFonts w:asciiTheme="majorHAnsi" w:hAnsiTheme="majorHAnsi"/>
          <w:sz w:val="22"/>
          <w:szCs w:val="22"/>
          <w:lang w:val="fr-FR"/>
        </w:rPr>
        <w:t xml:space="preserve">124A. </w:t>
      </w:r>
      <w:r w:rsidR="007A7C45" w:rsidRPr="00F015DD">
        <w:rPr>
          <w:rFonts w:asciiTheme="majorHAnsi" w:hAnsiTheme="majorHAnsi"/>
          <w:sz w:val="22"/>
          <w:szCs w:val="22"/>
          <w:lang w:val="fr-FR"/>
        </w:rPr>
        <w:t xml:space="preserve">En se basant sur des précédents, la cour a expliqué que l’étendue de la loi couvre </w:t>
      </w:r>
      <w:r w:rsidR="0047018F" w:rsidRPr="00F015DD">
        <w:rPr>
          <w:rFonts w:asciiTheme="majorHAnsi" w:hAnsiTheme="majorHAnsi"/>
          <w:sz w:val="22"/>
          <w:szCs w:val="22"/>
          <w:lang w:val="fr-FR"/>
        </w:rPr>
        <w:t>“</w:t>
      </w:r>
      <w:r w:rsidR="00CA5133" w:rsidRPr="00F015DD">
        <w:rPr>
          <w:rFonts w:asciiTheme="majorHAnsi" w:hAnsiTheme="majorHAnsi"/>
          <w:sz w:val="22"/>
          <w:szCs w:val="22"/>
          <w:lang w:val="fr-FR"/>
        </w:rPr>
        <w:t xml:space="preserve">tous propos exprimés oralement ou par </w:t>
      </w:r>
      <w:proofErr w:type="gramStart"/>
      <w:r w:rsidR="00CA5133" w:rsidRPr="00F015DD">
        <w:rPr>
          <w:rFonts w:asciiTheme="majorHAnsi" w:hAnsiTheme="majorHAnsi"/>
          <w:sz w:val="22"/>
          <w:szCs w:val="22"/>
          <w:lang w:val="fr-FR"/>
        </w:rPr>
        <w:t>écrit ,</w:t>
      </w:r>
      <w:proofErr w:type="gramEnd"/>
      <w:r w:rsidR="00CA5133" w:rsidRPr="00F015DD">
        <w:rPr>
          <w:rFonts w:asciiTheme="majorHAnsi" w:hAnsiTheme="majorHAnsi"/>
          <w:sz w:val="22"/>
          <w:szCs w:val="22"/>
          <w:lang w:val="fr-FR"/>
        </w:rPr>
        <w:t xml:space="preserve"> ...qui insinuent l’idée de renverser le gouvernement par des moyens violents, qui sont </w:t>
      </w:r>
      <w:r w:rsidR="00C46469" w:rsidRPr="00F015DD">
        <w:rPr>
          <w:rFonts w:asciiTheme="majorHAnsi" w:hAnsiTheme="majorHAnsi"/>
          <w:sz w:val="22"/>
          <w:szCs w:val="22"/>
          <w:lang w:val="fr-FR"/>
        </w:rPr>
        <w:t>sommairement</w:t>
      </w:r>
      <w:r w:rsidR="00CA5133" w:rsidRPr="00F015DD">
        <w:rPr>
          <w:rFonts w:asciiTheme="majorHAnsi" w:hAnsiTheme="majorHAnsi"/>
          <w:sz w:val="22"/>
          <w:szCs w:val="22"/>
          <w:lang w:val="fr-FR"/>
        </w:rPr>
        <w:t xml:space="preserve"> compris dans le terme ‘révolution’,...” </w:t>
      </w:r>
    </w:p>
    <w:p w14:paraId="27CCF8E8" w14:textId="77777777" w:rsidR="0047018F" w:rsidRPr="00F015DD" w:rsidRDefault="0047018F" w:rsidP="0047018F">
      <w:pPr>
        <w:jc w:val="both"/>
        <w:rPr>
          <w:rFonts w:asciiTheme="majorHAnsi" w:hAnsiTheme="majorHAnsi"/>
          <w:sz w:val="22"/>
          <w:szCs w:val="22"/>
          <w:lang w:val="fr-FR"/>
        </w:rPr>
      </w:pPr>
    </w:p>
    <w:p w14:paraId="7D75B358" w14:textId="70BA2AD6" w:rsidR="0047018F" w:rsidRPr="00F015DD" w:rsidRDefault="00CA5133" w:rsidP="00CB47C9">
      <w:pPr>
        <w:jc w:val="both"/>
        <w:rPr>
          <w:rFonts w:asciiTheme="majorHAnsi" w:hAnsiTheme="majorHAnsi"/>
          <w:sz w:val="22"/>
          <w:szCs w:val="22"/>
          <w:lang w:val="fr-FR"/>
        </w:rPr>
      </w:pPr>
      <w:r w:rsidRPr="00F015DD">
        <w:rPr>
          <w:rFonts w:asciiTheme="majorHAnsi" w:hAnsiTheme="majorHAnsi"/>
          <w:sz w:val="22"/>
          <w:szCs w:val="22"/>
          <w:lang w:val="fr-FR"/>
        </w:rPr>
        <w:t xml:space="preserve">La cour a expliqué que les caricatures en question sont dénudées de </w:t>
      </w:r>
      <w:r w:rsidR="00CB47C9" w:rsidRPr="00F015DD">
        <w:rPr>
          <w:rFonts w:asciiTheme="majorHAnsi" w:hAnsiTheme="majorHAnsi"/>
          <w:sz w:val="22"/>
          <w:szCs w:val="22"/>
          <w:lang w:val="fr-FR"/>
        </w:rPr>
        <w:t>tout sarcasme ou humour qui en soi ne constituait pas une raison suffisante pour empiéter sur le droit du caricat</w:t>
      </w:r>
      <w:r w:rsidR="00C46469" w:rsidRPr="00F015DD">
        <w:rPr>
          <w:rFonts w:asciiTheme="majorHAnsi" w:hAnsiTheme="majorHAnsi"/>
          <w:sz w:val="22"/>
          <w:szCs w:val="22"/>
          <w:lang w:val="fr-FR"/>
        </w:rPr>
        <w:t>u</w:t>
      </w:r>
      <w:r w:rsidR="008956AE">
        <w:rPr>
          <w:rFonts w:asciiTheme="majorHAnsi" w:hAnsiTheme="majorHAnsi"/>
          <w:sz w:val="22"/>
          <w:szCs w:val="22"/>
          <w:lang w:val="fr-FR"/>
        </w:rPr>
        <w:t xml:space="preserve">riste à “exprimer  </w:t>
      </w:r>
      <w:r w:rsidR="00CB47C9" w:rsidRPr="00F015DD">
        <w:rPr>
          <w:rFonts w:asciiTheme="majorHAnsi" w:hAnsiTheme="majorHAnsi"/>
          <w:sz w:val="22"/>
          <w:szCs w:val="22"/>
          <w:lang w:val="fr-FR"/>
        </w:rPr>
        <w:t>son indignation vis-à-vis de la corruption dans le système politique en des termes ou des représentations visuelles forts</w:t>
      </w:r>
      <w:r w:rsidR="0047018F" w:rsidRPr="00F015DD">
        <w:rPr>
          <w:rFonts w:asciiTheme="majorHAnsi" w:hAnsiTheme="majorHAnsi"/>
          <w:sz w:val="22"/>
          <w:szCs w:val="22"/>
          <w:lang w:val="fr-FR"/>
        </w:rPr>
        <w:t xml:space="preserve">… </w:t>
      </w:r>
      <w:r w:rsidR="00CB47C9" w:rsidRPr="00F015DD">
        <w:rPr>
          <w:rFonts w:asciiTheme="majorHAnsi" w:hAnsiTheme="majorHAnsi"/>
          <w:sz w:val="22"/>
          <w:szCs w:val="22"/>
          <w:lang w:val="fr-FR"/>
        </w:rPr>
        <w:t xml:space="preserve">alors qu’il n’existe aucune allégation d’incitation à la violence ou l’intention à provoquer un désordre public”. </w:t>
      </w:r>
      <w:r w:rsidR="0047018F" w:rsidRPr="00F015DD">
        <w:rPr>
          <w:rFonts w:asciiTheme="majorHAnsi" w:hAnsiTheme="majorHAnsi"/>
          <w:sz w:val="22"/>
          <w:szCs w:val="22"/>
          <w:lang w:val="fr-FR"/>
        </w:rPr>
        <w:t xml:space="preserve"> </w:t>
      </w:r>
    </w:p>
    <w:p w14:paraId="276E39B8" w14:textId="77777777" w:rsidR="0047018F" w:rsidRPr="00F015DD" w:rsidRDefault="0047018F" w:rsidP="0047018F">
      <w:pPr>
        <w:jc w:val="both"/>
        <w:rPr>
          <w:rFonts w:asciiTheme="majorHAnsi" w:hAnsiTheme="majorHAnsi" w:cs="Times New Roman"/>
          <w:b/>
          <w:sz w:val="22"/>
          <w:szCs w:val="22"/>
          <w:lang w:val="fr-FR"/>
        </w:rPr>
      </w:pPr>
    </w:p>
    <w:p w14:paraId="4AA92055" w14:textId="05910754" w:rsidR="00422DDE" w:rsidRPr="00F015DD" w:rsidRDefault="00422DDE" w:rsidP="00CB47C9">
      <w:pPr>
        <w:jc w:val="both"/>
        <w:rPr>
          <w:rFonts w:asciiTheme="majorHAnsi" w:hAnsiTheme="majorHAnsi" w:cs="Times New Roman"/>
          <w:b/>
          <w:lang w:val="fr-FR"/>
        </w:rPr>
      </w:pPr>
      <w:r w:rsidRPr="00F015DD">
        <w:rPr>
          <w:rFonts w:asciiTheme="majorHAnsi" w:hAnsiTheme="majorHAnsi" w:cs="Times New Roman"/>
          <w:b/>
          <w:lang w:val="fr-FR"/>
        </w:rPr>
        <w:t>Nor</w:t>
      </w:r>
      <w:r w:rsidR="00CB47C9" w:rsidRPr="00F015DD">
        <w:rPr>
          <w:rFonts w:asciiTheme="majorHAnsi" w:hAnsiTheme="majorHAnsi" w:cs="Times New Roman"/>
          <w:b/>
          <w:lang w:val="fr-FR"/>
        </w:rPr>
        <w:t>vège</w:t>
      </w:r>
      <w:r w:rsidRPr="00F015DD">
        <w:rPr>
          <w:rFonts w:asciiTheme="majorHAnsi" w:hAnsiTheme="majorHAnsi" w:cs="Times New Roman"/>
          <w:b/>
          <w:lang w:val="fr-FR"/>
        </w:rPr>
        <w:t xml:space="preserve">, </w:t>
      </w:r>
      <w:r w:rsidR="00CB47C9" w:rsidRPr="00F015DD">
        <w:rPr>
          <w:rFonts w:asciiTheme="majorHAnsi" w:hAnsiTheme="majorHAnsi" w:cs="Times New Roman"/>
          <w:b/>
          <w:lang w:val="fr-FR"/>
        </w:rPr>
        <w:t>Cour d’appel</w:t>
      </w:r>
      <w:r w:rsidR="0047018F" w:rsidRPr="00F015DD">
        <w:rPr>
          <w:rFonts w:asciiTheme="majorHAnsi" w:hAnsiTheme="majorHAnsi" w:cs="Times New Roman"/>
          <w:b/>
          <w:lang w:val="fr-FR"/>
        </w:rPr>
        <w:t>, 2015</w:t>
      </w:r>
      <w:r w:rsidR="008956AE">
        <w:rPr>
          <w:rStyle w:val="FootnoteReference"/>
          <w:rFonts w:asciiTheme="majorHAnsi" w:hAnsiTheme="majorHAnsi" w:cs="Times New Roman"/>
          <w:b/>
          <w:lang w:val="fr-FR"/>
        </w:rPr>
        <w:footnoteReference w:id="42"/>
      </w:r>
    </w:p>
    <w:p w14:paraId="554A4A93" w14:textId="3BDD181A" w:rsidR="00422DDE" w:rsidRPr="00F015DD" w:rsidRDefault="00CB47C9" w:rsidP="00676380">
      <w:pPr>
        <w:widowControl w:val="0"/>
        <w:autoSpaceDE w:val="0"/>
        <w:autoSpaceDN w:val="0"/>
        <w:adjustRightInd w:val="0"/>
        <w:jc w:val="both"/>
        <w:rPr>
          <w:rFonts w:asciiTheme="majorHAnsi" w:hAnsiTheme="majorHAnsi" w:cs="Helvetica"/>
          <w:sz w:val="22"/>
          <w:szCs w:val="22"/>
          <w:lang w:val="fr-FR"/>
        </w:rPr>
      </w:pPr>
      <w:r w:rsidRPr="00F015DD">
        <w:rPr>
          <w:rFonts w:asciiTheme="majorHAnsi" w:hAnsiTheme="majorHAnsi" w:cs="Helvetica"/>
          <w:sz w:val="22"/>
          <w:szCs w:val="22"/>
          <w:lang w:val="fr-FR"/>
        </w:rPr>
        <w:t>Un citoyen norvégien a été accusé d’incitation publique au meurtre ave</w:t>
      </w:r>
      <w:r w:rsidR="00C46469" w:rsidRPr="00F015DD">
        <w:rPr>
          <w:rFonts w:asciiTheme="majorHAnsi" w:hAnsiTheme="majorHAnsi" w:cs="Helvetica"/>
          <w:sz w:val="22"/>
          <w:szCs w:val="22"/>
          <w:lang w:val="fr-FR"/>
        </w:rPr>
        <w:t>c une intention terroriste pour</w:t>
      </w:r>
      <w:r w:rsidRPr="00F015DD">
        <w:rPr>
          <w:rFonts w:asciiTheme="majorHAnsi" w:hAnsiTheme="majorHAnsi" w:cs="Helvetica"/>
          <w:sz w:val="22"/>
          <w:szCs w:val="22"/>
          <w:lang w:val="fr-FR"/>
        </w:rPr>
        <w:t xml:space="preserve">, entre autres, les </w:t>
      </w:r>
      <w:r w:rsidR="00676380" w:rsidRPr="00F015DD">
        <w:rPr>
          <w:rFonts w:asciiTheme="majorHAnsi" w:hAnsiTheme="majorHAnsi" w:cs="Helvetica"/>
          <w:sz w:val="22"/>
          <w:szCs w:val="22"/>
          <w:lang w:val="fr-FR"/>
        </w:rPr>
        <w:t xml:space="preserve">commentaires suivants faits à propos </w:t>
      </w:r>
      <w:r w:rsidR="00C46469" w:rsidRPr="00F015DD">
        <w:rPr>
          <w:rFonts w:asciiTheme="majorHAnsi" w:hAnsiTheme="majorHAnsi" w:cs="Helvetica"/>
          <w:sz w:val="22"/>
          <w:szCs w:val="22"/>
          <w:lang w:val="fr-FR"/>
        </w:rPr>
        <w:t>d'une actualité</w:t>
      </w:r>
      <w:r w:rsidR="00676380" w:rsidRPr="00F015DD">
        <w:rPr>
          <w:rFonts w:asciiTheme="majorHAnsi" w:hAnsiTheme="majorHAnsi" w:cs="Helvetica"/>
          <w:sz w:val="22"/>
          <w:szCs w:val="22"/>
          <w:lang w:val="fr-FR"/>
        </w:rPr>
        <w:t xml:space="preserve"> sur des otages tués par des islamistes en Algérie: “ </w:t>
      </w:r>
      <w:r w:rsidR="00676380" w:rsidRPr="00F015DD">
        <w:rPr>
          <w:rFonts w:asciiTheme="majorHAnsi" w:hAnsiTheme="majorHAnsi" w:cs="Helvetica"/>
          <w:i/>
          <w:iCs/>
          <w:sz w:val="22"/>
          <w:szCs w:val="22"/>
          <w:lang w:val="fr-FR"/>
        </w:rPr>
        <w:t>Que Dieu récompense nos frères en les accueillant dans son immense paradis et chasse les ennemis de l’Islam de notre pays et les détrui</w:t>
      </w:r>
      <w:r w:rsidR="008956AE">
        <w:rPr>
          <w:rFonts w:asciiTheme="majorHAnsi" w:hAnsiTheme="majorHAnsi" w:cs="Helvetica"/>
          <w:i/>
          <w:iCs/>
          <w:sz w:val="22"/>
          <w:szCs w:val="22"/>
          <w:lang w:val="fr-FR"/>
        </w:rPr>
        <w:t>se</w:t>
      </w:r>
      <w:r w:rsidR="00422DDE" w:rsidRPr="00F015DD">
        <w:rPr>
          <w:rFonts w:asciiTheme="majorHAnsi" w:hAnsiTheme="majorHAnsi" w:cs="Helvetica"/>
          <w:sz w:val="22"/>
          <w:szCs w:val="22"/>
          <w:lang w:val="fr-FR"/>
        </w:rPr>
        <w:t>”.</w:t>
      </w:r>
    </w:p>
    <w:p w14:paraId="1E1BC03F" w14:textId="77777777" w:rsidR="00422DDE" w:rsidRPr="00F015DD" w:rsidRDefault="00422DDE" w:rsidP="00422DDE">
      <w:pPr>
        <w:jc w:val="both"/>
        <w:rPr>
          <w:rFonts w:asciiTheme="majorHAnsi" w:hAnsiTheme="majorHAnsi" w:cs="Times New Roman"/>
          <w:sz w:val="22"/>
          <w:szCs w:val="22"/>
          <w:lang w:val="fr-FR"/>
        </w:rPr>
      </w:pPr>
    </w:p>
    <w:p w14:paraId="29AAF85F" w14:textId="0CCC003E" w:rsidR="00422DDE" w:rsidRPr="00F015DD" w:rsidRDefault="00676380" w:rsidP="004351AA">
      <w:pPr>
        <w:jc w:val="both"/>
        <w:rPr>
          <w:rFonts w:asciiTheme="majorHAnsi" w:hAnsiTheme="majorHAnsi" w:cs="Times New Roman"/>
          <w:sz w:val="22"/>
          <w:szCs w:val="22"/>
          <w:lang w:val="fr-FR"/>
        </w:rPr>
      </w:pPr>
      <w:r w:rsidRPr="00F015DD">
        <w:rPr>
          <w:rFonts w:asciiTheme="majorHAnsi" w:hAnsiTheme="majorHAnsi" w:cs="Times New Roman"/>
          <w:sz w:val="22"/>
          <w:szCs w:val="22"/>
          <w:lang w:val="fr-FR"/>
        </w:rPr>
        <w:t>La cour d’appel a rejeté les charges d’incitation publique au meurtre avec intention terroriste et de glorification du terrorisme</w:t>
      </w:r>
      <w:r w:rsidR="00422DDE" w:rsidRPr="00F015DD">
        <w:rPr>
          <w:rFonts w:asciiTheme="majorHAnsi" w:hAnsiTheme="majorHAnsi" w:cs="Times New Roman"/>
          <w:sz w:val="22"/>
          <w:szCs w:val="22"/>
          <w:lang w:val="fr-FR"/>
        </w:rPr>
        <w:t xml:space="preserve">. </w:t>
      </w:r>
      <w:r w:rsidRPr="00F015DD">
        <w:rPr>
          <w:rFonts w:asciiTheme="majorHAnsi" w:hAnsiTheme="majorHAnsi" w:cs="Times New Roman"/>
          <w:sz w:val="22"/>
          <w:szCs w:val="22"/>
          <w:lang w:val="fr-FR"/>
        </w:rPr>
        <w:t xml:space="preserve">Elle a estimé que </w:t>
      </w:r>
      <w:r w:rsidR="004351AA" w:rsidRPr="00F015DD">
        <w:rPr>
          <w:rFonts w:asciiTheme="majorHAnsi" w:hAnsiTheme="majorHAnsi" w:cs="Times New Roman"/>
          <w:sz w:val="22"/>
          <w:szCs w:val="22"/>
          <w:u w:val="single"/>
          <w:lang w:val="fr-FR"/>
        </w:rPr>
        <w:t xml:space="preserve">l’incertitude juridique créée par l’imprécision de la loi devait bénéficier à l’accusé et a interprété le terme “incitation” comme exigeant de </w:t>
      </w:r>
      <w:proofErr w:type="spellStart"/>
      <w:r w:rsidR="004351AA" w:rsidRPr="00F015DD">
        <w:rPr>
          <w:rFonts w:asciiTheme="majorHAnsi" w:hAnsiTheme="majorHAnsi" w:cs="Times New Roman"/>
          <w:sz w:val="22"/>
          <w:szCs w:val="22"/>
          <w:u w:val="single"/>
          <w:lang w:val="fr-FR"/>
        </w:rPr>
        <w:t>staisfaire</w:t>
      </w:r>
      <w:proofErr w:type="spellEnd"/>
      <w:r w:rsidR="004351AA" w:rsidRPr="00F015DD">
        <w:rPr>
          <w:rFonts w:asciiTheme="majorHAnsi" w:hAnsiTheme="majorHAnsi" w:cs="Times New Roman"/>
          <w:sz w:val="22"/>
          <w:szCs w:val="22"/>
          <w:u w:val="single"/>
          <w:lang w:val="fr-FR"/>
        </w:rPr>
        <w:t xml:space="preserve"> à </w:t>
      </w:r>
      <w:r w:rsidR="00C46469" w:rsidRPr="00F015DD">
        <w:rPr>
          <w:rFonts w:asciiTheme="majorHAnsi" w:hAnsiTheme="majorHAnsi" w:cs="Times New Roman"/>
          <w:sz w:val="22"/>
          <w:szCs w:val="22"/>
          <w:u w:val="single"/>
          <w:lang w:val="fr-FR"/>
        </w:rPr>
        <w:t xml:space="preserve">un </w:t>
      </w:r>
      <w:r w:rsidR="004351AA" w:rsidRPr="00F015DD">
        <w:rPr>
          <w:rFonts w:asciiTheme="majorHAnsi" w:hAnsiTheme="majorHAnsi" w:cs="Times New Roman"/>
          <w:sz w:val="22"/>
          <w:szCs w:val="22"/>
          <w:u w:val="single"/>
          <w:lang w:val="fr-FR"/>
        </w:rPr>
        <w:t>“degré de concrétisation et de “force”</w:t>
      </w:r>
      <w:r w:rsidR="00422DDE" w:rsidRPr="00F015DD">
        <w:rPr>
          <w:rFonts w:asciiTheme="majorHAnsi" w:hAnsiTheme="majorHAnsi" w:cs="Times New Roman"/>
          <w:sz w:val="22"/>
          <w:szCs w:val="22"/>
          <w:lang w:val="fr-FR"/>
        </w:rPr>
        <w:t xml:space="preserve">, </w:t>
      </w:r>
      <w:r w:rsidR="004351AA" w:rsidRPr="00F015DD">
        <w:rPr>
          <w:rFonts w:asciiTheme="majorHAnsi" w:hAnsiTheme="majorHAnsi" w:cs="Times New Roman"/>
          <w:sz w:val="22"/>
          <w:szCs w:val="22"/>
          <w:lang w:val="fr-FR"/>
        </w:rPr>
        <w:t>en parfait accord avec la recommandation des N</w:t>
      </w:r>
      <w:r w:rsidR="008956AE">
        <w:rPr>
          <w:rFonts w:asciiTheme="majorHAnsi" w:hAnsiTheme="majorHAnsi" w:cs="Times New Roman"/>
          <w:sz w:val="22"/>
          <w:szCs w:val="22"/>
          <w:lang w:val="fr-FR"/>
        </w:rPr>
        <w:t xml:space="preserve">ations </w:t>
      </w:r>
      <w:r w:rsidR="004351AA" w:rsidRPr="00F015DD">
        <w:rPr>
          <w:rFonts w:asciiTheme="majorHAnsi" w:hAnsiTheme="majorHAnsi" w:cs="Times New Roman"/>
          <w:sz w:val="22"/>
          <w:szCs w:val="22"/>
          <w:lang w:val="fr-FR"/>
        </w:rPr>
        <w:t>U</w:t>
      </w:r>
      <w:r w:rsidR="008956AE">
        <w:rPr>
          <w:rFonts w:asciiTheme="majorHAnsi" w:hAnsiTheme="majorHAnsi" w:cs="Times New Roman"/>
          <w:sz w:val="22"/>
          <w:szCs w:val="22"/>
          <w:lang w:val="fr-FR"/>
        </w:rPr>
        <w:t>nies</w:t>
      </w:r>
      <w:r w:rsidR="004351AA" w:rsidRPr="00F015DD">
        <w:rPr>
          <w:rFonts w:asciiTheme="majorHAnsi" w:hAnsiTheme="majorHAnsi" w:cs="Times New Roman"/>
          <w:sz w:val="22"/>
          <w:szCs w:val="22"/>
          <w:lang w:val="fr-FR"/>
        </w:rPr>
        <w:t xml:space="preserve"> portant sur l’article 20 de l’</w:t>
      </w:r>
      <w:r w:rsidR="00422DDE" w:rsidRPr="00F015DD">
        <w:rPr>
          <w:rFonts w:asciiTheme="majorHAnsi" w:hAnsiTheme="majorHAnsi" w:cs="Times New Roman"/>
          <w:sz w:val="22"/>
          <w:szCs w:val="22"/>
          <w:lang w:val="fr-FR"/>
        </w:rPr>
        <w:t>ICCPR.</w:t>
      </w:r>
      <w:r w:rsidR="00422DDE" w:rsidRPr="00F015DD">
        <w:rPr>
          <w:rStyle w:val="FootnoteReference"/>
          <w:rFonts w:asciiTheme="majorHAnsi" w:hAnsiTheme="majorHAnsi" w:cs="Times New Roman"/>
          <w:sz w:val="22"/>
          <w:szCs w:val="22"/>
          <w:lang w:val="fr-FR"/>
        </w:rPr>
        <w:footnoteReference w:id="43"/>
      </w:r>
      <w:r w:rsidR="00422DDE" w:rsidRPr="00F015DD">
        <w:rPr>
          <w:rFonts w:asciiTheme="majorHAnsi" w:hAnsiTheme="majorHAnsi" w:cs="Times New Roman"/>
          <w:sz w:val="22"/>
          <w:szCs w:val="22"/>
          <w:lang w:val="fr-FR"/>
        </w:rPr>
        <w:t xml:space="preserve"> </w:t>
      </w:r>
    </w:p>
    <w:p w14:paraId="1F0712EE" w14:textId="77777777" w:rsidR="00422DDE" w:rsidRPr="00F015DD" w:rsidRDefault="00422DDE" w:rsidP="00422DDE">
      <w:pPr>
        <w:jc w:val="both"/>
        <w:rPr>
          <w:rFonts w:asciiTheme="majorHAnsi" w:hAnsiTheme="majorHAnsi" w:cs="Times New Roman"/>
          <w:sz w:val="22"/>
          <w:szCs w:val="22"/>
          <w:lang w:val="fr-FR"/>
        </w:rPr>
      </w:pPr>
    </w:p>
    <w:p w14:paraId="6D6DF3B3" w14:textId="77777777" w:rsidR="00422DDE" w:rsidRPr="00F015DD" w:rsidRDefault="00422DDE" w:rsidP="004A14AF">
      <w:pPr>
        <w:jc w:val="both"/>
        <w:rPr>
          <w:rFonts w:asciiTheme="majorHAnsi" w:hAnsiTheme="majorHAnsi" w:cs="Times New Roman"/>
          <w:sz w:val="22"/>
          <w:szCs w:val="22"/>
          <w:lang w:val="fr-FR"/>
        </w:rPr>
      </w:pPr>
      <w:r w:rsidRPr="00F015DD">
        <w:rPr>
          <w:rFonts w:asciiTheme="majorHAnsi" w:hAnsiTheme="majorHAnsi" w:cs="Times New Roman"/>
          <w:sz w:val="22"/>
          <w:szCs w:val="22"/>
          <w:lang w:val="fr-FR"/>
        </w:rPr>
        <w:t>‘</w:t>
      </w:r>
      <w:r w:rsidR="006B4FD8" w:rsidRPr="008956AE">
        <w:rPr>
          <w:rFonts w:asciiTheme="majorHAnsi" w:hAnsiTheme="majorHAnsi" w:cs="Times New Roman"/>
          <w:i/>
          <w:sz w:val="22"/>
          <w:szCs w:val="22"/>
          <w:lang w:val="fr-FR"/>
        </w:rPr>
        <w:t>La cour a aussi entériné la jurisprudence antérieure de la cour suprême ayant conclu que personne ne devrait encourir une responsabilité criminelle pour des expressions en se basant sur des déductions par voie d’interprétation plutôt que sur des déclarations explicites. Par conséquent, la cour a estimé que les déclarations en question constituaient plutôt une “simple” glorification d’actes terroristes déjà commis mais pas “d’incitation” pour commet</w:t>
      </w:r>
      <w:r w:rsidR="00C46469" w:rsidRPr="008956AE">
        <w:rPr>
          <w:rFonts w:asciiTheme="majorHAnsi" w:hAnsiTheme="majorHAnsi" w:cs="Times New Roman"/>
          <w:i/>
          <w:sz w:val="22"/>
          <w:szCs w:val="22"/>
          <w:lang w:val="fr-FR"/>
        </w:rPr>
        <w:t>t</w:t>
      </w:r>
      <w:r w:rsidR="006B4FD8" w:rsidRPr="008956AE">
        <w:rPr>
          <w:rFonts w:asciiTheme="majorHAnsi" w:hAnsiTheme="majorHAnsi" w:cs="Times New Roman"/>
          <w:i/>
          <w:sz w:val="22"/>
          <w:szCs w:val="22"/>
          <w:lang w:val="fr-FR"/>
        </w:rPr>
        <w:t xml:space="preserve">re de nouveaux actes </w:t>
      </w:r>
      <w:r w:rsidR="004A14AF" w:rsidRPr="008956AE">
        <w:rPr>
          <w:rFonts w:asciiTheme="majorHAnsi" w:hAnsiTheme="majorHAnsi" w:cs="Times New Roman"/>
          <w:i/>
          <w:sz w:val="22"/>
          <w:szCs w:val="22"/>
          <w:lang w:val="fr-FR"/>
        </w:rPr>
        <w:t>et a par conséquent acquitté l’accusé</w:t>
      </w:r>
      <w:r w:rsidRPr="008956AE">
        <w:rPr>
          <w:rFonts w:asciiTheme="majorHAnsi" w:hAnsiTheme="majorHAnsi" w:cs="Times New Roman"/>
          <w:i/>
          <w:sz w:val="22"/>
          <w:szCs w:val="22"/>
          <w:lang w:val="fr-FR"/>
        </w:rPr>
        <w:t xml:space="preserve"> (</w:t>
      </w:r>
      <w:r w:rsidR="004A14AF" w:rsidRPr="008956AE">
        <w:rPr>
          <w:rFonts w:asciiTheme="majorHAnsi" w:hAnsiTheme="majorHAnsi" w:cs="Times New Roman"/>
          <w:i/>
          <w:sz w:val="22"/>
          <w:szCs w:val="22"/>
          <w:lang w:val="fr-FR"/>
        </w:rPr>
        <w:t>qui a ég</w:t>
      </w:r>
      <w:r w:rsidR="00C46469" w:rsidRPr="008956AE">
        <w:rPr>
          <w:rFonts w:asciiTheme="majorHAnsi" w:hAnsiTheme="majorHAnsi" w:cs="Times New Roman"/>
          <w:i/>
          <w:sz w:val="22"/>
          <w:szCs w:val="22"/>
          <w:lang w:val="fr-FR"/>
        </w:rPr>
        <w:t>alement été acquitté pour le chef   d'</w:t>
      </w:r>
      <w:r w:rsidR="004A14AF" w:rsidRPr="008956AE">
        <w:rPr>
          <w:rFonts w:asciiTheme="majorHAnsi" w:hAnsiTheme="majorHAnsi" w:cs="Times New Roman"/>
          <w:i/>
          <w:sz w:val="22"/>
          <w:szCs w:val="22"/>
          <w:lang w:val="fr-FR"/>
        </w:rPr>
        <w:t xml:space="preserve">accusation </w:t>
      </w:r>
      <w:r w:rsidR="00C46469" w:rsidRPr="008956AE">
        <w:rPr>
          <w:rFonts w:asciiTheme="majorHAnsi" w:hAnsiTheme="majorHAnsi" w:cs="Times New Roman"/>
          <w:i/>
          <w:sz w:val="22"/>
          <w:szCs w:val="22"/>
          <w:lang w:val="fr-FR"/>
        </w:rPr>
        <w:t>du</w:t>
      </w:r>
      <w:r w:rsidR="004A14AF" w:rsidRPr="008956AE">
        <w:rPr>
          <w:rFonts w:asciiTheme="majorHAnsi" w:hAnsiTheme="majorHAnsi" w:cs="Times New Roman"/>
          <w:i/>
          <w:sz w:val="22"/>
          <w:szCs w:val="22"/>
          <w:lang w:val="fr-FR"/>
        </w:rPr>
        <w:t xml:space="preserve"> discours de haine raciste mais a été inculpé pour avoir proféré des menaces dans plusieurs autres déclarations</w:t>
      </w:r>
      <w:r w:rsidRPr="00F015DD">
        <w:rPr>
          <w:rFonts w:asciiTheme="majorHAnsi" w:hAnsiTheme="majorHAnsi" w:cs="Times New Roman"/>
          <w:sz w:val="22"/>
          <w:szCs w:val="22"/>
          <w:lang w:val="fr-FR"/>
        </w:rPr>
        <w:t>)’.</w:t>
      </w:r>
      <w:r w:rsidRPr="00F015DD">
        <w:rPr>
          <w:rStyle w:val="FootnoteReference"/>
          <w:rFonts w:asciiTheme="majorHAnsi" w:hAnsiTheme="majorHAnsi" w:cs="Times New Roman"/>
          <w:sz w:val="22"/>
          <w:szCs w:val="22"/>
          <w:lang w:val="fr-FR"/>
        </w:rPr>
        <w:footnoteReference w:id="44"/>
      </w:r>
      <w:r w:rsidRPr="00F015DD">
        <w:rPr>
          <w:rFonts w:asciiTheme="majorHAnsi" w:hAnsiTheme="majorHAnsi" w:cs="Times New Roman"/>
          <w:sz w:val="22"/>
          <w:szCs w:val="22"/>
          <w:lang w:val="fr-FR"/>
        </w:rPr>
        <w:t> </w:t>
      </w:r>
    </w:p>
    <w:p w14:paraId="2E2AFF8E" w14:textId="77777777" w:rsidR="00422DDE" w:rsidRPr="00F015DD" w:rsidRDefault="00422DDE" w:rsidP="00422DDE">
      <w:pPr>
        <w:pStyle w:val="FootnoteText"/>
        <w:jc w:val="both"/>
        <w:rPr>
          <w:rFonts w:asciiTheme="majorHAnsi" w:hAnsiTheme="majorHAnsi"/>
          <w:szCs w:val="22"/>
          <w:lang w:val="fr-FR"/>
        </w:rPr>
      </w:pPr>
    </w:p>
    <w:p w14:paraId="429AC938" w14:textId="77777777" w:rsidR="00686233" w:rsidRPr="008956AE" w:rsidRDefault="004A14AF" w:rsidP="004A14AF">
      <w:pPr>
        <w:rPr>
          <w:rFonts w:asciiTheme="majorHAnsi" w:hAnsiTheme="majorHAnsi"/>
          <w:b/>
          <w:lang w:val="fr-FR"/>
        </w:rPr>
      </w:pPr>
      <w:r w:rsidRPr="008956AE">
        <w:rPr>
          <w:rFonts w:asciiTheme="majorHAnsi" w:hAnsiTheme="majorHAnsi"/>
          <w:b/>
          <w:lang w:val="fr-FR"/>
        </w:rPr>
        <w:t>Risque associé à l’examen superficiel</w:t>
      </w:r>
      <w:r w:rsidR="00976042" w:rsidRPr="008956AE">
        <w:rPr>
          <w:rFonts w:asciiTheme="majorHAnsi" w:hAnsiTheme="majorHAnsi"/>
          <w:b/>
          <w:lang w:val="fr-FR"/>
        </w:rPr>
        <w:t xml:space="preserve">: </w:t>
      </w:r>
      <w:r w:rsidRPr="008956AE">
        <w:rPr>
          <w:rFonts w:asciiTheme="majorHAnsi" w:hAnsiTheme="majorHAnsi"/>
          <w:b/>
          <w:lang w:val="fr-FR"/>
        </w:rPr>
        <w:t>Procureur général de Moscou c</w:t>
      </w:r>
      <w:r w:rsidR="00686233" w:rsidRPr="008956AE">
        <w:rPr>
          <w:rFonts w:asciiTheme="majorHAnsi" w:hAnsiTheme="majorHAnsi"/>
          <w:b/>
          <w:lang w:val="fr-FR"/>
        </w:rPr>
        <w:t xml:space="preserve">. </w:t>
      </w:r>
      <w:r w:rsidRPr="008956AE">
        <w:rPr>
          <w:rFonts w:asciiTheme="majorHAnsi" w:hAnsiTheme="majorHAnsi"/>
          <w:b/>
          <w:lang w:val="fr-FR"/>
        </w:rPr>
        <w:t>Société russe de protection des consommateurs</w:t>
      </w:r>
      <w:r w:rsidR="00686233" w:rsidRPr="008956AE">
        <w:rPr>
          <w:rFonts w:asciiTheme="majorHAnsi" w:hAnsiTheme="majorHAnsi"/>
          <w:b/>
          <w:lang w:val="fr-FR"/>
        </w:rPr>
        <w:t>, 2015</w:t>
      </w:r>
      <w:r w:rsidR="00686233" w:rsidRPr="008956AE">
        <w:rPr>
          <w:rStyle w:val="FootnoteReference"/>
          <w:rFonts w:asciiTheme="majorHAnsi" w:hAnsiTheme="majorHAnsi"/>
          <w:b/>
          <w:lang w:val="fr-FR"/>
        </w:rPr>
        <w:footnoteReference w:id="45"/>
      </w:r>
    </w:p>
    <w:p w14:paraId="472652FE" w14:textId="77777777" w:rsidR="00686233" w:rsidRPr="00F015DD" w:rsidRDefault="004A14AF" w:rsidP="004A14AF">
      <w:pPr>
        <w:jc w:val="both"/>
        <w:rPr>
          <w:rFonts w:asciiTheme="majorHAnsi" w:hAnsiTheme="majorHAnsi"/>
          <w:sz w:val="22"/>
          <w:szCs w:val="22"/>
          <w:lang w:val="fr-FR"/>
        </w:rPr>
      </w:pPr>
      <w:r w:rsidRPr="00F015DD">
        <w:rPr>
          <w:rFonts w:asciiTheme="majorHAnsi" w:hAnsiTheme="majorHAnsi"/>
          <w:sz w:val="22"/>
          <w:szCs w:val="22"/>
          <w:lang w:val="fr-FR"/>
        </w:rPr>
        <w:t xml:space="preserve">La société russe de protection des consommateurs a publié une note sur les voyages vers la Crimée suite à des plaintes qui lui sont parvenues de la part de certains voyageurs russes qui disent avoir eu des difficultés à obtenir des visas </w:t>
      </w:r>
      <w:r w:rsidR="00686233" w:rsidRPr="00F015DD">
        <w:rPr>
          <w:rFonts w:asciiTheme="majorHAnsi" w:hAnsiTheme="majorHAnsi"/>
          <w:sz w:val="22"/>
          <w:szCs w:val="22"/>
          <w:lang w:val="fr-FR"/>
        </w:rPr>
        <w:t xml:space="preserve">Schengen </w:t>
      </w:r>
      <w:r w:rsidRPr="00F015DD">
        <w:rPr>
          <w:rFonts w:asciiTheme="majorHAnsi" w:hAnsiTheme="majorHAnsi"/>
          <w:sz w:val="22"/>
          <w:szCs w:val="22"/>
          <w:lang w:val="fr-FR"/>
        </w:rPr>
        <w:t>après leur entrée en Crimée à partir de la frontière russe</w:t>
      </w:r>
      <w:r w:rsidR="00686233" w:rsidRPr="00F015DD">
        <w:rPr>
          <w:rFonts w:asciiTheme="majorHAnsi" w:hAnsiTheme="majorHAnsi"/>
          <w:sz w:val="22"/>
          <w:szCs w:val="22"/>
          <w:lang w:val="fr-FR"/>
        </w:rPr>
        <w:t xml:space="preserve">. </w:t>
      </w:r>
    </w:p>
    <w:p w14:paraId="244AB876" w14:textId="77777777" w:rsidR="00686233" w:rsidRPr="00F015DD" w:rsidRDefault="00686233" w:rsidP="00686233">
      <w:pPr>
        <w:jc w:val="both"/>
        <w:rPr>
          <w:rFonts w:asciiTheme="majorHAnsi" w:hAnsiTheme="majorHAnsi"/>
          <w:sz w:val="22"/>
          <w:szCs w:val="22"/>
          <w:lang w:val="fr-FR"/>
        </w:rPr>
      </w:pPr>
    </w:p>
    <w:p w14:paraId="619346B4" w14:textId="77777777" w:rsidR="00686233" w:rsidRPr="00F015DD" w:rsidRDefault="004A14AF" w:rsidP="006A20CD">
      <w:pPr>
        <w:jc w:val="both"/>
        <w:rPr>
          <w:rFonts w:asciiTheme="majorHAnsi" w:hAnsiTheme="majorHAnsi"/>
          <w:sz w:val="22"/>
          <w:szCs w:val="22"/>
          <w:lang w:val="fr-FR"/>
        </w:rPr>
      </w:pPr>
      <w:r w:rsidRPr="00F015DD">
        <w:rPr>
          <w:rFonts w:asciiTheme="majorHAnsi" w:hAnsiTheme="majorHAnsi"/>
          <w:sz w:val="22"/>
          <w:szCs w:val="22"/>
          <w:lang w:val="fr-FR"/>
        </w:rPr>
        <w:t xml:space="preserve">La note recommandait aux voyageurs d’entrer en Crimée à travers les frontières ukrainiennes et de suivre les lois de l’Ukraine </w:t>
      </w:r>
      <w:r w:rsidR="006A20CD" w:rsidRPr="00F015DD">
        <w:rPr>
          <w:rFonts w:asciiTheme="majorHAnsi" w:hAnsiTheme="majorHAnsi"/>
          <w:sz w:val="22"/>
          <w:szCs w:val="22"/>
          <w:lang w:val="fr-FR"/>
        </w:rPr>
        <w:t>à l’occasion de leurs voyages dans la région</w:t>
      </w:r>
      <w:r w:rsidR="00686233" w:rsidRPr="00F015DD">
        <w:rPr>
          <w:rFonts w:asciiTheme="majorHAnsi" w:hAnsiTheme="majorHAnsi"/>
          <w:sz w:val="22"/>
          <w:szCs w:val="22"/>
          <w:lang w:val="fr-FR"/>
        </w:rPr>
        <w:t xml:space="preserve">. </w:t>
      </w:r>
      <w:r w:rsidR="006A20CD" w:rsidRPr="00F015DD">
        <w:rPr>
          <w:rFonts w:asciiTheme="majorHAnsi" w:hAnsiTheme="majorHAnsi"/>
          <w:sz w:val="22"/>
          <w:szCs w:val="22"/>
          <w:lang w:val="fr-FR"/>
        </w:rPr>
        <w:t xml:space="preserve">Dans la note, il a été fait mention de la Crimée comme étant un territoire occupé par la Russie. </w:t>
      </w:r>
    </w:p>
    <w:p w14:paraId="6A0C5E4D" w14:textId="77777777" w:rsidR="00686233" w:rsidRPr="00F015DD" w:rsidRDefault="00686233" w:rsidP="00686233">
      <w:pPr>
        <w:jc w:val="both"/>
        <w:rPr>
          <w:rFonts w:asciiTheme="majorHAnsi" w:hAnsiTheme="majorHAnsi"/>
          <w:sz w:val="22"/>
          <w:szCs w:val="22"/>
          <w:lang w:val="fr-FR"/>
        </w:rPr>
      </w:pPr>
    </w:p>
    <w:p w14:paraId="778A93ED" w14:textId="5E7CB113" w:rsidR="00686233" w:rsidRPr="00F015DD" w:rsidRDefault="006A20CD" w:rsidP="006A20CD">
      <w:pPr>
        <w:jc w:val="both"/>
        <w:rPr>
          <w:rFonts w:asciiTheme="majorHAnsi" w:hAnsiTheme="majorHAnsi"/>
          <w:sz w:val="22"/>
          <w:szCs w:val="22"/>
          <w:lang w:val="fr-FR"/>
        </w:rPr>
      </w:pPr>
      <w:r w:rsidRPr="00F015DD">
        <w:rPr>
          <w:rFonts w:asciiTheme="majorHAnsi" w:hAnsiTheme="majorHAnsi"/>
          <w:sz w:val="22"/>
          <w:szCs w:val="22"/>
          <w:lang w:val="fr-FR"/>
        </w:rPr>
        <w:t>Le procureur général de Moscou a demandé à interdire la page contenant la note et à infliger une amende au site web pour violation du code criminel russe dans son article 280.1</w:t>
      </w:r>
      <w:r w:rsidR="008956AE">
        <w:rPr>
          <w:rFonts w:asciiTheme="majorHAnsi" w:hAnsiTheme="majorHAnsi"/>
          <w:sz w:val="22"/>
          <w:szCs w:val="22"/>
          <w:lang w:val="fr-FR"/>
        </w:rPr>
        <w:t xml:space="preserve"> sur</w:t>
      </w:r>
      <w:r w:rsidR="00686233" w:rsidRPr="00F015DD">
        <w:rPr>
          <w:rFonts w:asciiTheme="majorHAnsi" w:hAnsiTheme="majorHAnsi"/>
          <w:sz w:val="22"/>
          <w:szCs w:val="22"/>
          <w:lang w:val="fr-FR"/>
        </w:rPr>
        <w:t xml:space="preserve"> "</w:t>
      </w:r>
      <w:r w:rsidRPr="00F015DD">
        <w:rPr>
          <w:rFonts w:asciiTheme="majorHAnsi" w:hAnsiTheme="majorHAnsi"/>
          <w:sz w:val="22"/>
          <w:szCs w:val="22"/>
          <w:lang w:val="fr-FR"/>
        </w:rPr>
        <w:t>Incitation publique à des actes qui nuisent à la souveraineté territoriale de la Russie</w:t>
      </w:r>
      <w:r w:rsidR="00686233" w:rsidRPr="00F015DD">
        <w:rPr>
          <w:rFonts w:asciiTheme="majorHAnsi" w:hAnsiTheme="majorHAnsi"/>
          <w:sz w:val="22"/>
          <w:szCs w:val="22"/>
          <w:lang w:val="fr-FR"/>
        </w:rPr>
        <w:t xml:space="preserve">.” </w:t>
      </w:r>
    </w:p>
    <w:p w14:paraId="1A59D0C7" w14:textId="77777777" w:rsidR="00686233" w:rsidRPr="00F015DD" w:rsidRDefault="00686233" w:rsidP="00686233">
      <w:pPr>
        <w:jc w:val="both"/>
        <w:rPr>
          <w:rFonts w:asciiTheme="majorHAnsi" w:hAnsiTheme="majorHAnsi"/>
          <w:sz w:val="22"/>
          <w:szCs w:val="22"/>
          <w:lang w:val="fr-FR"/>
        </w:rPr>
      </w:pPr>
    </w:p>
    <w:p w14:paraId="02AB2881" w14:textId="14CB2BF2" w:rsidR="00686233" w:rsidRPr="00F015DD" w:rsidRDefault="006A20CD" w:rsidP="006A20CD">
      <w:pPr>
        <w:jc w:val="both"/>
        <w:rPr>
          <w:rFonts w:asciiTheme="majorHAnsi" w:hAnsiTheme="majorHAnsi"/>
          <w:sz w:val="22"/>
          <w:szCs w:val="22"/>
          <w:lang w:val="fr-FR"/>
        </w:rPr>
      </w:pPr>
      <w:r w:rsidRPr="00F015DD">
        <w:rPr>
          <w:rFonts w:asciiTheme="majorHAnsi" w:hAnsiTheme="majorHAnsi"/>
          <w:sz w:val="22"/>
          <w:szCs w:val="22"/>
          <w:lang w:val="fr-FR"/>
        </w:rPr>
        <w:t>Le procureur général a expliqué que l’utilisation des termes “territoire occupé” et “occupation de la péninsule” impliquait q</w:t>
      </w:r>
      <w:r w:rsidR="008956AE">
        <w:rPr>
          <w:rFonts w:asciiTheme="majorHAnsi" w:hAnsiTheme="majorHAnsi"/>
          <w:sz w:val="22"/>
          <w:szCs w:val="22"/>
          <w:lang w:val="fr-FR"/>
        </w:rPr>
        <w:t>ue la Crimée est un territoire u</w:t>
      </w:r>
      <w:r w:rsidRPr="00F015DD">
        <w:rPr>
          <w:rFonts w:asciiTheme="majorHAnsi" w:hAnsiTheme="majorHAnsi"/>
          <w:sz w:val="22"/>
          <w:szCs w:val="22"/>
          <w:lang w:val="fr-FR"/>
        </w:rPr>
        <w:t xml:space="preserve">krainien occupé temporairement par </w:t>
      </w:r>
      <w:r w:rsidR="00C46469" w:rsidRPr="00F015DD">
        <w:rPr>
          <w:rFonts w:asciiTheme="majorHAnsi" w:hAnsiTheme="majorHAnsi"/>
          <w:sz w:val="22"/>
          <w:szCs w:val="22"/>
          <w:lang w:val="fr-FR"/>
        </w:rPr>
        <w:t>l</w:t>
      </w:r>
      <w:r w:rsidRPr="00F015DD">
        <w:rPr>
          <w:rFonts w:asciiTheme="majorHAnsi" w:hAnsiTheme="majorHAnsi"/>
          <w:sz w:val="22"/>
          <w:szCs w:val="22"/>
          <w:lang w:val="fr-FR"/>
        </w:rPr>
        <w:t xml:space="preserve">a Russie et que les citoyens russes devraient se tenir à la loi ukrainienne en visitant </w:t>
      </w:r>
      <w:r w:rsidR="00C46469" w:rsidRPr="00F015DD">
        <w:rPr>
          <w:rFonts w:asciiTheme="majorHAnsi" w:hAnsiTheme="majorHAnsi"/>
          <w:sz w:val="22"/>
          <w:szCs w:val="22"/>
          <w:lang w:val="fr-FR"/>
        </w:rPr>
        <w:t>la Crimée</w:t>
      </w:r>
      <w:r w:rsidR="00686233" w:rsidRPr="00F015DD">
        <w:rPr>
          <w:rFonts w:asciiTheme="majorHAnsi" w:hAnsiTheme="majorHAnsi"/>
          <w:sz w:val="22"/>
          <w:szCs w:val="22"/>
          <w:lang w:val="fr-FR"/>
        </w:rPr>
        <w:t xml:space="preserve">. </w:t>
      </w:r>
      <w:r w:rsidR="00C46469" w:rsidRPr="00F015DD">
        <w:rPr>
          <w:rFonts w:asciiTheme="majorHAnsi" w:hAnsiTheme="majorHAnsi"/>
          <w:sz w:val="22"/>
          <w:szCs w:val="22"/>
          <w:lang w:val="fr-FR"/>
        </w:rPr>
        <w:t xml:space="preserve">Ainsi cette référence portait atteinte à l'intégrité territoriale et à la </w:t>
      </w:r>
      <w:proofErr w:type="spellStart"/>
      <w:r w:rsidR="00C46469" w:rsidRPr="00F015DD">
        <w:rPr>
          <w:rFonts w:asciiTheme="majorHAnsi" w:hAnsiTheme="majorHAnsi"/>
          <w:sz w:val="22"/>
          <w:szCs w:val="22"/>
          <w:lang w:val="fr-FR"/>
        </w:rPr>
        <w:t>souverainté</w:t>
      </w:r>
      <w:proofErr w:type="spellEnd"/>
      <w:r w:rsidR="00C46469" w:rsidRPr="00F015DD">
        <w:rPr>
          <w:rFonts w:asciiTheme="majorHAnsi" w:hAnsiTheme="majorHAnsi"/>
          <w:sz w:val="22"/>
          <w:szCs w:val="22"/>
          <w:lang w:val="fr-FR"/>
        </w:rPr>
        <w:t xml:space="preserve"> de la Russie et appelait à des activités extrémistes. Un mémorandum de l'agence russe de régulation des médias a allégué que la note a essayé d'inciter à des émeutes de masse, à des activités extrémistes et à la participation dans des activités publiques illégales. </w:t>
      </w:r>
    </w:p>
    <w:p w14:paraId="7B3D97E7" w14:textId="77777777" w:rsidR="00686233" w:rsidRPr="00F015DD" w:rsidRDefault="00686233" w:rsidP="00686233">
      <w:pPr>
        <w:jc w:val="both"/>
        <w:rPr>
          <w:rFonts w:asciiTheme="majorHAnsi" w:hAnsiTheme="majorHAnsi"/>
          <w:sz w:val="22"/>
          <w:szCs w:val="22"/>
          <w:lang w:val="fr-FR"/>
        </w:rPr>
      </w:pPr>
    </w:p>
    <w:p w14:paraId="04F97E39" w14:textId="77777777" w:rsidR="00686233" w:rsidRPr="00F015DD" w:rsidRDefault="00C46469" w:rsidP="00686233">
      <w:pPr>
        <w:jc w:val="both"/>
        <w:rPr>
          <w:rFonts w:asciiTheme="majorHAnsi" w:hAnsiTheme="majorHAnsi"/>
          <w:sz w:val="22"/>
          <w:szCs w:val="22"/>
          <w:lang w:val="fr-FR"/>
        </w:rPr>
      </w:pPr>
      <w:r w:rsidRPr="00F015DD">
        <w:rPr>
          <w:rFonts w:asciiTheme="majorHAnsi" w:hAnsiTheme="majorHAnsi"/>
          <w:sz w:val="22"/>
          <w:szCs w:val="22"/>
          <w:lang w:val="fr-FR"/>
        </w:rPr>
        <w:t xml:space="preserve">La cour a estimé que les arguments du gouvernement étaient valables et a confirmé l'interdiction de la page et l'amende infligée à l'ONG. </w:t>
      </w:r>
    </w:p>
    <w:p w14:paraId="726BFA24" w14:textId="77777777" w:rsidR="00686233" w:rsidRPr="00F015DD" w:rsidRDefault="00686233" w:rsidP="00686233">
      <w:pPr>
        <w:jc w:val="both"/>
        <w:rPr>
          <w:rFonts w:asciiTheme="majorHAnsi" w:hAnsiTheme="majorHAnsi"/>
          <w:b/>
          <w:sz w:val="22"/>
          <w:szCs w:val="22"/>
          <w:lang w:val="fr-FR"/>
        </w:rPr>
      </w:pPr>
    </w:p>
    <w:p w14:paraId="62590D58" w14:textId="77777777" w:rsidR="0046642E" w:rsidRPr="00F015DD" w:rsidRDefault="0046642E" w:rsidP="00136F69">
      <w:pPr>
        <w:rPr>
          <w:b/>
          <w:sz w:val="36"/>
          <w:szCs w:val="36"/>
          <w:lang w:val="fr-FR"/>
        </w:rPr>
      </w:pPr>
    </w:p>
    <w:p w14:paraId="0D61E6A0" w14:textId="27B23018" w:rsidR="00F93E8F" w:rsidRPr="00F015DD" w:rsidRDefault="00F93E8F" w:rsidP="006D6209">
      <w:pPr>
        <w:jc w:val="center"/>
        <w:rPr>
          <w:b/>
          <w:sz w:val="36"/>
          <w:szCs w:val="36"/>
          <w:lang w:val="fr-FR"/>
        </w:rPr>
      </w:pPr>
      <w:r w:rsidRPr="00F015DD">
        <w:rPr>
          <w:rFonts w:asciiTheme="majorHAnsi" w:hAnsiTheme="majorHAnsi"/>
          <w:b/>
          <w:sz w:val="28"/>
          <w:szCs w:val="28"/>
          <w:lang w:val="fr-FR"/>
        </w:rPr>
        <w:t>ANNEX</w:t>
      </w:r>
      <w:r w:rsidR="00C46469" w:rsidRPr="00F015DD">
        <w:rPr>
          <w:rFonts w:asciiTheme="majorHAnsi" w:hAnsiTheme="majorHAnsi"/>
          <w:b/>
          <w:sz w:val="28"/>
          <w:szCs w:val="28"/>
          <w:lang w:val="fr-FR"/>
        </w:rPr>
        <w:t>E</w:t>
      </w:r>
      <w:r w:rsidR="00136F69" w:rsidRPr="00F015DD">
        <w:rPr>
          <w:rFonts w:asciiTheme="majorHAnsi" w:hAnsiTheme="majorHAnsi"/>
          <w:b/>
          <w:sz w:val="28"/>
          <w:szCs w:val="28"/>
          <w:lang w:val="fr-FR"/>
        </w:rPr>
        <w:t xml:space="preserve"> </w:t>
      </w:r>
      <w:r w:rsidR="00C46469" w:rsidRPr="00F015DD">
        <w:rPr>
          <w:rFonts w:asciiTheme="majorHAnsi" w:hAnsiTheme="majorHAnsi"/>
          <w:b/>
          <w:sz w:val="28"/>
          <w:szCs w:val="28"/>
          <w:lang w:val="fr-FR"/>
        </w:rPr>
        <w:t>1</w:t>
      </w:r>
      <w:r w:rsidR="00136F69" w:rsidRPr="00F015DD">
        <w:rPr>
          <w:rFonts w:asciiTheme="majorHAnsi" w:hAnsiTheme="majorHAnsi"/>
          <w:b/>
          <w:sz w:val="28"/>
          <w:szCs w:val="28"/>
          <w:lang w:val="fr-FR"/>
        </w:rPr>
        <w:t xml:space="preserve">: </w:t>
      </w:r>
      <w:r w:rsidR="00C21127">
        <w:rPr>
          <w:rFonts w:asciiTheme="majorHAnsi" w:hAnsiTheme="majorHAnsi"/>
          <w:b/>
          <w:sz w:val="28"/>
          <w:szCs w:val="28"/>
          <w:lang w:val="fr-FR"/>
        </w:rPr>
        <w:t>Le test en</w:t>
      </w:r>
      <w:r w:rsidR="00C46469" w:rsidRPr="00F015DD">
        <w:rPr>
          <w:rFonts w:asciiTheme="majorHAnsi" w:hAnsiTheme="majorHAnsi"/>
          <w:b/>
          <w:sz w:val="28"/>
          <w:szCs w:val="28"/>
          <w:lang w:val="fr-FR"/>
        </w:rPr>
        <w:t xml:space="preserve"> trois parties</w:t>
      </w:r>
      <w:r w:rsidR="006D6209" w:rsidRPr="00F015DD">
        <w:rPr>
          <w:rStyle w:val="FootnoteReference"/>
          <w:rFonts w:asciiTheme="majorHAnsi" w:hAnsiTheme="majorHAnsi"/>
          <w:b/>
          <w:lang w:val="fr-FR"/>
        </w:rPr>
        <w:footnoteReference w:id="46"/>
      </w:r>
    </w:p>
    <w:p w14:paraId="7FD9530D" w14:textId="77777777" w:rsidR="00136F69" w:rsidRPr="00F015DD" w:rsidRDefault="00136F69" w:rsidP="00136F69">
      <w:pPr>
        <w:jc w:val="both"/>
        <w:rPr>
          <w:rFonts w:asciiTheme="majorHAnsi" w:hAnsiTheme="majorHAnsi"/>
          <w:color w:val="000000"/>
          <w:sz w:val="22"/>
          <w:szCs w:val="22"/>
          <w:lang w:val="fr-FR"/>
        </w:rPr>
      </w:pPr>
    </w:p>
    <w:p w14:paraId="4F540C23" w14:textId="77777777" w:rsidR="00136F69" w:rsidRPr="00F015DD" w:rsidRDefault="00C46469" w:rsidP="00136F69">
      <w:pPr>
        <w:jc w:val="both"/>
        <w:rPr>
          <w:rFonts w:asciiTheme="majorHAnsi" w:hAnsiTheme="majorHAnsi"/>
          <w:color w:val="000000"/>
          <w:sz w:val="22"/>
          <w:szCs w:val="22"/>
          <w:lang w:val="fr-FR"/>
        </w:rPr>
      </w:pPr>
      <w:r w:rsidRPr="00F015DD">
        <w:rPr>
          <w:rFonts w:asciiTheme="majorHAnsi" w:hAnsiTheme="majorHAnsi"/>
          <w:color w:val="000000"/>
          <w:sz w:val="22"/>
          <w:szCs w:val="22"/>
          <w:lang w:val="fr-FR"/>
        </w:rPr>
        <w:t xml:space="preserve">Dans l'observation générale </w:t>
      </w:r>
      <w:r w:rsidR="00136F69" w:rsidRPr="00F015DD">
        <w:rPr>
          <w:rFonts w:asciiTheme="majorHAnsi" w:hAnsiTheme="majorHAnsi"/>
          <w:color w:val="000000"/>
          <w:sz w:val="22"/>
          <w:szCs w:val="22"/>
          <w:lang w:val="fr-FR"/>
        </w:rPr>
        <w:t xml:space="preserve">34, </w:t>
      </w:r>
      <w:r w:rsidRPr="00F015DD">
        <w:rPr>
          <w:rFonts w:asciiTheme="majorHAnsi" w:hAnsiTheme="majorHAnsi"/>
          <w:color w:val="000000"/>
          <w:sz w:val="22"/>
          <w:szCs w:val="22"/>
          <w:lang w:val="fr-FR"/>
        </w:rPr>
        <w:t>le comité des droits de l'homme (CDH) a passé en revue la jurisprudence et la communication CDH jusqu'à ce jour et s'est attardé sur tous les éléments du test à trois parties</w:t>
      </w:r>
      <w:r w:rsidR="00136F69" w:rsidRPr="00F015DD">
        <w:rPr>
          <w:rFonts w:asciiTheme="majorHAnsi" w:hAnsiTheme="majorHAnsi"/>
          <w:color w:val="000000"/>
          <w:sz w:val="22"/>
          <w:szCs w:val="22"/>
          <w:lang w:val="fr-FR"/>
        </w:rPr>
        <w:t xml:space="preserve">. </w:t>
      </w:r>
    </w:p>
    <w:p w14:paraId="666282A3" w14:textId="77777777" w:rsidR="00136F69" w:rsidRPr="00F015DD" w:rsidRDefault="00136F69" w:rsidP="00136F69">
      <w:pPr>
        <w:rPr>
          <w:b/>
          <w:sz w:val="36"/>
          <w:szCs w:val="36"/>
          <w:lang w:val="fr-FR"/>
        </w:rPr>
      </w:pPr>
    </w:p>
    <w:p w14:paraId="6C3AA4F1" w14:textId="278E4F1B" w:rsidR="00136F69" w:rsidRPr="00F015DD" w:rsidRDefault="00C46469" w:rsidP="00136F69">
      <w:pPr>
        <w:jc w:val="both"/>
        <w:rPr>
          <w:rFonts w:asciiTheme="majorHAnsi" w:hAnsiTheme="majorHAnsi"/>
          <w:color w:val="000000"/>
          <w:sz w:val="22"/>
          <w:szCs w:val="22"/>
          <w:lang w:val="fr-FR"/>
        </w:rPr>
      </w:pPr>
      <w:r w:rsidRPr="00F015DD">
        <w:rPr>
          <w:rFonts w:asciiTheme="majorHAnsi" w:hAnsiTheme="majorHAnsi"/>
          <w:b/>
          <w:color w:val="000000"/>
          <w:sz w:val="22"/>
          <w:szCs w:val="22"/>
          <w:lang w:val="fr-FR"/>
        </w:rPr>
        <w:t>Primo</w:t>
      </w:r>
      <w:r w:rsidR="00136F69" w:rsidRPr="00F015DD">
        <w:rPr>
          <w:rFonts w:asciiTheme="majorHAnsi" w:hAnsiTheme="majorHAnsi"/>
          <w:b/>
          <w:color w:val="000000"/>
          <w:sz w:val="22"/>
          <w:szCs w:val="22"/>
          <w:lang w:val="fr-FR"/>
        </w:rPr>
        <w:t xml:space="preserve">, </w:t>
      </w:r>
      <w:r w:rsidR="008956AE">
        <w:rPr>
          <w:rFonts w:asciiTheme="majorHAnsi" w:hAnsiTheme="majorHAnsi"/>
          <w:b/>
          <w:color w:val="000000"/>
          <w:sz w:val="22"/>
          <w:szCs w:val="22"/>
          <w:lang w:val="fr-FR"/>
        </w:rPr>
        <w:t>la</w:t>
      </w:r>
      <w:r w:rsidR="00136F69" w:rsidRPr="00F015DD">
        <w:rPr>
          <w:rFonts w:asciiTheme="majorHAnsi" w:hAnsiTheme="majorHAnsi"/>
          <w:b/>
          <w:color w:val="000000"/>
          <w:sz w:val="22"/>
          <w:szCs w:val="22"/>
          <w:lang w:val="fr-FR"/>
        </w:rPr>
        <w:t xml:space="preserve"> restriction </w:t>
      </w:r>
      <w:r w:rsidRPr="00F015DD">
        <w:rPr>
          <w:rFonts w:asciiTheme="majorHAnsi" w:hAnsiTheme="majorHAnsi"/>
          <w:b/>
          <w:color w:val="000000"/>
          <w:sz w:val="22"/>
          <w:szCs w:val="22"/>
          <w:lang w:val="fr-FR"/>
        </w:rPr>
        <w:t>doit être prévue par la loi</w:t>
      </w:r>
      <w:r w:rsidR="00136F69" w:rsidRPr="00F015DD">
        <w:rPr>
          <w:rFonts w:asciiTheme="majorHAnsi" w:hAnsiTheme="majorHAnsi"/>
          <w:b/>
          <w:color w:val="000000"/>
          <w:sz w:val="22"/>
          <w:szCs w:val="22"/>
          <w:lang w:val="fr-FR"/>
        </w:rPr>
        <w:t>.</w:t>
      </w:r>
      <w:r w:rsidR="00136F69" w:rsidRPr="00F015DD">
        <w:rPr>
          <w:rFonts w:asciiTheme="majorHAnsi" w:hAnsiTheme="majorHAnsi"/>
          <w:color w:val="000000"/>
          <w:sz w:val="22"/>
          <w:szCs w:val="22"/>
          <w:lang w:val="fr-FR"/>
        </w:rPr>
        <w:t xml:space="preserve"> </w:t>
      </w:r>
      <w:r w:rsidRPr="00F015DD">
        <w:rPr>
          <w:rFonts w:asciiTheme="majorHAnsi" w:hAnsiTheme="majorHAnsi"/>
          <w:color w:val="000000"/>
          <w:sz w:val="22"/>
          <w:szCs w:val="22"/>
          <w:lang w:val="fr-FR"/>
        </w:rPr>
        <w:t>Ceci implique que</w:t>
      </w:r>
      <w:r w:rsidR="00136F69" w:rsidRPr="00F015DD">
        <w:rPr>
          <w:rFonts w:asciiTheme="majorHAnsi" w:hAnsiTheme="majorHAnsi"/>
          <w:color w:val="000000"/>
          <w:sz w:val="22"/>
          <w:szCs w:val="22"/>
          <w:lang w:val="fr-FR"/>
        </w:rPr>
        <w:t>:</w:t>
      </w:r>
    </w:p>
    <w:p w14:paraId="20D6A9D0" w14:textId="4ADA0626" w:rsidR="00136F69" w:rsidRPr="00F015DD" w:rsidRDefault="00C46469" w:rsidP="00136F69">
      <w:pPr>
        <w:pStyle w:val="ListParagraph"/>
        <w:numPr>
          <w:ilvl w:val="0"/>
          <w:numId w:val="5"/>
        </w:numPr>
        <w:jc w:val="both"/>
        <w:rPr>
          <w:rFonts w:asciiTheme="majorHAnsi" w:hAnsiTheme="majorHAnsi" w:cs="Times"/>
          <w:sz w:val="22"/>
          <w:szCs w:val="22"/>
          <w:lang w:val="fr-FR"/>
        </w:rPr>
      </w:pPr>
      <w:r w:rsidRPr="00F015DD">
        <w:rPr>
          <w:rFonts w:asciiTheme="majorHAnsi" w:hAnsiTheme="majorHAnsi"/>
          <w:color w:val="000000"/>
          <w:sz w:val="22"/>
          <w:szCs w:val="22"/>
          <w:lang w:val="fr-FR"/>
        </w:rPr>
        <w:t>La restriction doit avoir une base dans le droit écrit. Cela peut inclure des lois sur le privilège parlementaire</w:t>
      </w:r>
      <w:r w:rsidR="00136F69" w:rsidRPr="00F015DD">
        <w:rPr>
          <w:rStyle w:val="FootnoteReference"/>
          <w:rFonts w:asciiTheme="majorHAnsi" w:hAnsiTheme="majorHAnsi" w:cs="Times New Roman"/>
          <w:sz w:val="22"/>
          <w:szCs w:val="22"/>
          <w:lang w:val="fr-FR"/>
        </w:rPr>
        <w:footnoteReference w:id="47"/>
      </w:r>
      <w:r w:rsidRPr="00F015DD">
        <w:rPr>
          <w:rFonts w:asciiTheme="majorHAnsi" w:hAnsiTheme="majorHAnsi" w:cs="Times New Roman"/>
          <w:position w:val="10"/>
          <w:sz w:val="22"/>
          <w:szCs w:val="22"/>
          <w:lang w:val="fr-FR"/>
        </w:rPr>
        <w:t xml:space="preserve">  </w:t>
      </w:r>
      <w:r w:rsidRPr="00F015DD">
        <w:rPr>
          <w:rFonts w:asciiTheme="majorHAnsi" w:hAnsiTheme="majorHAnsi" w:cs="Times New Roman"/>
          <w:sz w:val="22"/>
          <w:szCs w:val="22"/>
          <w:lang w:val="fr-FR"/>
        </w:rPr>
        <w:t>et des lois relatives à l'outrage à la cour</w:t>
      </w:r>
      <w:r w:rsidR="00136F69" w:rsidRPr="00F015DD">
        <w:rPr>
          <w:rStyle w:val="FootnoteReference"/>
          <w:rFonts w:asciiTheme="majorHAnsi" w:hAnsiTheme="majorHAnsi" w:cs="Times New Roman"/>
          <w:sz w:val="22"/>
          <w:szCs w:val="22"/>
          <w:lang w:val="fr-FR"/>
        </w:rPr>
        <w:footnoteReference w:id="48"/>
      </w:r>
      <w:r w:rsidRPr="00F015DD">
        <w:rPr>
          <w:rFonts w:asciiTheme="majorHAnsi" w:hAnsiTheme="majorHAnsi" w:cs="Times New Roman"/>
          <w:sz w:val="22"/>
          <w:szCs w:val="22"/>
          <w:lang w:val="fr-FR"/>
        </w:rPr>
        <w:t xml:space="preserve"> mais ne couvre pas le droit traditionnel, religieux ou autres droits tels que le droit coutumier</w:t>
      </w:r>
      <w:r w:rsidR="00136F69" w:rsidRPr="00F015DD">
        <w:rPr>
          <w:rStyle w:val="FootnoteReference"/>
          <w:rFonts w:asciiTheme="majorHAnsi" w:hAnsiTheme="majorHAnsi" w:cs="Times New Roman"/>
          <w:sz w:val="22"/>
          <w:szCs w:val="22"/>
          <w:lang w:val="fr-FR"/>
        </w:rPr>
        <w:footnoteReference w:id="49"/>
      </w:r>
      <w:r w:rsidR="00BC3FE3">
        <w:rPr>
          <w:rFonts w:asciiTheme="majorHAnsi" w:hAnsiTheme="majorHAnsi" w:cs="Times New Roman"/>
          <w:sz w:val="22"/>
          <w:szCs w:val="22"/>
          <w:lang w:val="fr-FR"/>
        </w:rPr>
        <w:t> ;</w:t>
      </w:r>
    </w:p>
    <w:p w14:paraId="663D5891" w14:textId="67997B2E" w:rsidR="00136F69" w:rsidRPr="00F015DD" w:rsidRDefault="00C46469" w:rsidP="00136F69">
      <w:pPr>
        <w:pStyle w:val="ListParagraph"/>
        <w:numPr>
          <w:ilvl w:val="0"/>
          <w:numId w:val="5"/>
        </w:numPr>
        <w:jc w:val="both"/>
        <w:rPr>
          <w:rFonts w:asciiTheme="majorHAnsi" w:hAnsiTheme="majorHAnsi" w:cs="Times New Roman"/>
          <w:sz w:val="22"/>
          <w:szCs w:val="22"/>
          <w:lang w:val="fr-FR"/>
        </w:rPr>
      </w:pPr>
      <w:r w:rsidRPr="00F015DD">
        <w:rPr>
          <w:rFonts w:asciiTheme="majorHAnsi" w:hAnsiTheme="majorHAnsi"/>
          <w:color w:val="000000"/>
          <w:sz w:val="22"/>
          <w:szCs w:val="22"/>
          <w:lang w:val="fr-FR"/>
        </w:rPr>
        <w:t>La loi doit être formulée de manière claire et précise pour permettre aux individus de réguler leur conduite par rapport à ses dispositions</w:t>
      </w:r>
      <w:r w:rsidR="00136F69" w:rsidRPr="00F015DD">
        <w:rPr>
          <w:rStyle w:val="FootnoteReference"/>
          <w:rFonts w:asciiTheme="majorHAnsi" w:hAnsiTheme="majorHAnsi" w:cs="Times New Roman"/>
          <w:sz w:val="22"/>
          <w:szCs w:val="22"/>
          <w:lang w:val="fr-FR"/>
        </w:rPr>
        <w:footnoteReference w:id="50"/>
      </w:r>
      <w:r w:rsidR="00BC3FE3">
        <w:rPr>
          <w:rFonts w:asciiTheme="majorHAnsi" w:hAnsiTheme="majorHAnsi"/>
          <w:color w:val="000000"/>
          <w:sz w:val="22"/>
          <w:szCs w:val="22"/>
          <w:lang w:val="fr-FR"/>
        </w:rPr>
        <w:t> ;</w:t>
      </w:r>
      <w:r w:rsidR="00136F69" w:rsidRPr="00F015DD">
        <w:rPr>
          <w:rFonts w:asciiTheme="majorHAnsi" w:hAnsiTheme="majorHAnsi" w:cs="Times New Roman"/>
          <w:position w:val="10"/>
          <w:sz w:val="22"/>
          <w:szCs w:val="22"/>
          <w:lang w:val="fr-FR"/>
        </w:rPr>
        <w:t xml:space="preserve"> </w:t>
      </w:r>
    </w:p>
    <w:p w14:paraId="5A7BA1DE" w14:textId="4E8FEC57" w:rsidR="00136F69" w:rsidRPr="00F015DD" w:rsidRDefault="00C46469" w:rsidP="00136F69">
      <w:pPr>
        <w:pStyle w:val="ListParagraph"/>
        <w:numPr>
          <w:ilvl w:val="0"/>
          <w:numId w:val="5"/>
        </w:numPr>
        <w:jc w:val="both"/>
        <w:rPr>
          <w:rFonts w:asciiTheme="majorHAnsi" w:hAnsiTheme="majorHAnsi" w:cs="Times New Roman"/>
          <w:sz w:val="22"/>
          <w:szCs w:val="22"/>
          <w:lang w:val="fr-FR"/>
        </w:rPr>
      </w:pPr>
      <w:r w:rsidRPr="00F015DD">
        <w:rPr>
          <w:rFonts w:asciiTheme="majorHAnsi" w:hAnsiTheme="majorHAnsi" w:cs="Times New Roman"/>
          <w:sz w:val="22"/>
          <w:szCs w:val="22"/>
          <w:lang w:val="fr-FR"/>
        </w:rPr>
        <w:t>La loi doit être accessible au public</w:t>
      </w:r>
      <w:r w:rsidR="00BC3FE3">
        <w:rPr>
          <w:rFonts w:asciiTheme="majorHAnsi" w:hAnsiTheme="majorHAnsi" w:cs="Times New Roman"/>
          <w:sz w:val="22"/>
          <w:szCs w:val="22"/>
          <w:lang w:val="fr-FR"/>
        </w:rPr>
        <w:t> ;</w:t>
      </w:r>
    </w:p>
    <w:p w14:paraId="53FDB0C4" w14:textId="4E2BF8D4" w:rsidR="00136F69" w:rsidRPr="00F015DD" w:rsidRDefault="00C46469" w:rsidP="00136F69">
      <w:pPr>
        <w:pStyle w:val="ListParagraph"/>
        <w:numPr>
          <w:ilvl w:val="0"/>
          <w:numId w:val="5"/>
        </w:numPr>
        <w:jc w:val="both"/>
        <w:rPr>
          <w:rFonts w:asciiTheme="majorHAnsi" w:hAnsiTheme="majorHAnsi" w:cs="Times New Roman"/>
          <w:sz w:val="22"/>
          <w:szCs w:val="22"/>
          <w:lang w:val="fr-FR"/>
        </w:rPr>
      </w:pPr>
      <w:r w:rsidRPr="00F015DD">
        <w:rPr>
          <w:rFonts w:asciiTheme="majorHAnsi" w:hAnsiTheme="majorHAnsi" w:cs="Times New Roman"/>
          <w:sz w:val="22"/>
          <w:szCs w:val="22"/>
          <w:lang w:val="fr-FR"/>
        </w:rPr>
        <w:t xml:space="preserve">La loi ne doit pas conférer au gouvernement </w:t>
      </w:r>
      <w:r w:rsidR="00136F69" w:rsidRPr="00F015DD">
        <w:rPr>
          <w:rFonts w:asciiTheme="majorHAnsi" w:hAnsiTheme="majorHAnsi" w:cs="Times New Roman"/>
          <w:sz w:val="22"/>
          <w:szCs w:val="22"/>
          <w:lang w:val="fr-FR"/>
        </w:rPr>
        <w:t>(</w:t>
      </w:r>
      <w:r w:rsidRPr="00F015DD">
        <w:rPr>
          <w:rFonts w:asciiTheme="majorHAnsi" w:hAnsiTheme="majorHAnsi" w:cs="Times New Roman"/>
          <w:sz w:val="22"/>
          <w:szCs w:val="22"/>
          <w:lang w:val="fr-FR"/>
        </w:rPr>
        <w:t xml:space="preserve">cela comprend les </w:t>
      </w:r>
      <w:r w:rsidR="008956AE">
        <w:rPr>
          <w:rFonts w:asciiTheme="majorHAnsi" w:hAnsiTheme="majorHAnsi" w:cs="Times New Roman"/>
          <w:sz w:val="22"/>
          <w:szCs w:val="22"/>
          <w:lang w:val="fr-FR"/>
        </w:rPr>
        <w:t xml:space="preserve">dirigeants </w:t>
      </w:r>
      <w:r w:rsidRPr="00F015DD">
        <w:rPr>
          <w:rFonts w:asciiTheme="majorHAnsi" w:hAnsiTheme="majorHAnsi" w:cs="Times New Roman"/>
          <w:sz w:val="22"/>
          <w:szCs w:val="22"/>
          <w:lang w:val="fr-FR"/>
        </w:rPr>
        <w:t xml:space="preserve">de tous types, </w:t>
      </w:r>
      <w:r w:rsidR="008956AE">
        <w:rPr>
          <w:rFonts w:asciiTheme="majorHAnsi" w:hAnsiTheme="majorHAnsi" w:cs="Times New Roman"/>
          <w:sz w:val="22"/>
          <w:szCs w:val="22"/>
          <w:lang w:val="fr-FR"/>
        </w:rPr>
        <w:t xml:space="preserve">et </w:t>
      </w:r>
      <w:r w:rsidRPr="00F015DD">
        <w:rPr>
          <w:rFonts w:asciiTheme="majorHAnsi" w:hAnsiTheme="majorHAnsi" w:cs="Times New Roman"/>
          <w:sz w:val="22"/>
          <w:szCs w:val="22"/>
          <w:lang w:val="fr-FR"/>
        </w:rPr>
        <w:t>le</w:t>
      </w:r>
      <w:r w:rsidR="008956AE">
        <w:rPr>
          <w:rFonts w:asciiTheme="majorHAnsi" w:hAnsiTheme="majorHAnsi" w:cs="Times New Roman"/>
          <w:sz w:val="22"/>
          <w:szCs w:val="22"/>
          <w:lang w:val="fr-FR"/>
        </w:rPr>
        <w:t>s</w:t>
      </w:r>
      <w:r w:rsidRPr="00F015DD">
        <w:rPr>
          <w:rFonts w:asciiTheme="majorHAnsi" w:hAnsiTheme="majorHAnsi" w:cs="Times New Roman"/>
          <w:sz w:val="22"/>
          <w:szCs w:val="22"/>
          <w:lang w:val="fr-FR"/>
        </w:rPr>
        <w:t xml:space="preserve"> parlement</w:t>
      </w:r>
      <w:r w:rsidR="008956AE">
        <w:rPr>
          <w:rFonts w:asciiTheme="majorHAnsi" w:hAnsiTheme="majorHAnsi" w:cs="Times New Roman"/>
          <w:sz w:val="22"/>
          <w:szCs w:val="22"/>
          <w:lang w:val="fr-FR"/>
        </w:rPr>
        <w:t>s</w:t>
      </w:r>
      <w:r w:rsidRPr="00F015DD">
        <w:rPr>
          <w:rFonts w:asciiTheme="majorHAnsi" w:hAnsiTheme="majorHAnsi" w:cs="Times New Roman"/>
          <w:sz w:val="22"/>
          <w:szCs w:val="22"/>
          <w:lang w:val="fr-FR"/>
        </w:rPr>
        <w:t xml:space="preserve">) </w:t>
      </w:r>
      <w:r w:rsidR="00136F69" w:rsidRPr="00F015DD">
        <w:rPr>
          <w:rFonts w:asciiTheme="majorHAnsi" w:hAnsiTheme="majorHAnsi" w:cs="Times New Roman"/>
          <w:sz w:val="22"/>
          <w:szCs w:val="22"/>
          <w:lang w:val="fr-FR"/>
        </w:rPr>
        <w:t>“</w:t>
      </w:r>
      <w:r w:rsidRPr="00F015DD">
        <w:rPr>
          <w:rFonts w:asciiTheme="majorHAnsi" w:hAnsiTheme="majorHAnsi" w:cs="Times New Roman"/>
          <w:sz w:val="22"/>
          <w:szCs w:val="22"/>
          <w:lang w:val="fr-FR"/>
        </w:rPr>
        <w:t>un pouvoir discrétionnaire absolu</w:t>
      </w:r>
      <w:r w:rsidR="00136F69" w:rsidRPr="00F015DD">
        <w:rPr>
          <w:rStyle w:val="FootnoteReference"/>
          <w:rFonts w:asciiTheme="majorHAnsi" w:hAnsiTheme="majorHAnsi" w:cs="Times New Roman"/>
          <w:sz w:val="22"/>
          <w:szCs w:val="22"/>
          <w:lang w:val="fr-FR"/>
        </w:rPr>
        <w:footnoteReference w:id="51"/>
      </w:r>
      <w:r w:rsidR="00136F69" w:rsidRPr="00F015DD">
        <w:rPr>
          <w:rFonts w:asciiTheme="majorHAnsi" w:hAnsiTheme="majorHAnsi" w:cs="Times New Roman"/>
          <w:sz w:val="22"/>
          <w:szCs w:val="22"/>
          <w:lang w:val="fr-FR"/>
        </w:rPr>
        <w:t>”</w:t>
      </w:r>
      <w:r w:rsidR="00BC3FE3">
        <w:rPr>
          <w:rFonts w:asciiTheme="majorHAnsi" w:hAnsiTheme="majorHAnsi" w:cs="Times New Roman"/>
          <w:sz w:val="22"/>
          <w:szCs w:val="22"/>
          <w:lang w:val="fr-FR"/>
        </w:rPr>
        <w:t> ;</w:t>
      </w:r>
      <w:r w:rsidR="00136F69" w:rsidRPr="00F015DD">
        <w:rPr>
          <w:rFonts w:asciiTheme="majorHAnsi" w:hAnsiTheme="majorHAnsi" w:cs="Times New Roman"/>
          <w:sz w:val="22"/>
          <w:szCs w:val="22"/>
          <w:lang w:val="fr-FR"/>
        </w:rPr>
        <w:t xml:space="preserve"> </w:t>
      </w:r>
    </w:p>
    <w:p w14:paraId="4673375A" w14:textId="79CDC8B6" w:rsidR="00136F69" w:rsidRPr="00F015DD" w:rsidRDefault="00C46469" w:rsidP="00136F69">
      <w:pPr>
        <w:pStyle w:val="ListParagraph"/>
        <w:numPr>
          <w:ilvl w:val="0"/>
          <w:numId w:val="5"/>
        </w:numPr>
        <w:jc w:val="both"/>
        <w:rPr>
          <w:rFonts w:asciiTheme="majorHAnsi" w:hAnsiTheme="majorHAnsi" w:cs="Times New Roman"/>
          <w:sz w:val="22"/>
          <w:szCs w:val="22"/>
          <w:lang w:val="fr-FR"/>
        </w:rPr>
      </w:pPr>
      <w:r w:rsidRPr="00F015DD">
        <w:rPr>
          <w:rFonts w:asciiTheme="majorHAnsi" w:hAnsiTheme="majorHAnsi" w:cs="Times New Roman"/>
          <w:sz w:val="22"/>
          <w:szCs w:val="22"/>
          <w:lang w:val="fr-FR"/>
        </w:rPr>
        <w:t>Elle doit être compatible avec toutes les dispositions de l'</w:t>
      </w:r>
      <w:r w:rsidR="00136F69" w:rsidRPr="00F015DD">
        <w:rPr>
          <w:rFonts w:asciiTheme="majorHAnsi" w:hAnsiTheme="majorHAnsi" w:cs="Times New Roman"/>
          <w:sz w:val="22"/>
          <w:szCs w:val="22"/>
          <w:lang w:val="fr-FR"/>
        </w:rPr>
        <w:t>ICCPR</w:t>
      </w:r>
      <w:r w:rsidR="00136F69" w:rsidRPr="00F015DD">
        <w:rPr>
          <w:rStyle w:val="FootnoteReference"/>
          <w:rFonts w:asciiTheme="majorHAnsi" w:hAnsiTheme="majorHAnsi" w:cs="Times New Roman"/>
          <w:sz w:val="22"/>
          <w:szCs w:val="22"/>
          <w:lang w:val="fr-FR"/>
        </w:rPr>
        <w:footnoteReference w:id="52"/>
      </w:r>
      <w:r w:rsidR="00BC3FE3">
        <w:rPr>
          <w:rFonts w:asciiTheme="majorHAnsi" w:hAnsiTheme="majorHAnsi" w:cs="Times New Roman"/>
          <w:sz w:val="22"/>
          <w:szCs w:val="22"/>
          <w:lang w:val="fr-FR"/>
        </w:rPr>
        <w:t> ;</w:t>
      </w:r>
    </w:p>
    <w:p w14:paraId="4D1F63F7" w14:textId="1E414090" w:rsidR="00136F69" w:rsidRPr="00F015DD" w:rsidRDefault="00C46469" w:rsidP="00136F69">
      <w:pPr>
        <w:pStyle w:val="ListParagraph"/>
        <w:numPr>
          <w:ilvl w:val="0"/>
          <w:numId w:val="5"/>
        </w:numPr>
        <w:jc w:val="both"/>
        <w:rPr>
          <w:rFonts w:asciiTheme="majorHAnsi" w:hAnsiTheme="majorHAnsi" w:cs="Times New Roman"/>
          <w:sz w:val="22"/>
          <w:szCs w:val="22"/>
          <w:lang w:val="fr-FR"/>
        </w:rPr>
      </w:pPr>
      <w:r w:rsidRPr="00F015DD">
        <w:rPr>
          <w:rFonts w:asciiTheme="majorHAnsi" w:hAnsiTheme="majorHAnsi" w:cs="Times New Roman"/>
          <w:sz w:val="22"/>
          <w:szCs w:val="22"/>
          <w:lang w:val="fr-FR"/>
        </w:rPr>
        <w:t>Elle ne peut pas enfreindre les dispositions de non discrimination</w:t>
      </w:r>
      <w:r w:rsidR="00BC3FE3">
        <w:rPr>
          <w:rFonts w:asciiTheme="majorHAnsi" w:hAnsiTheme="majorHAnsi" w:cs="Times New Roman"/>
          <w:sz w:val="22"/>
          <w:szCs w:val="22"/>
          <w:lang w:val="fr-FR"/>
        </w:rPr>
        <w:t> ;</w:t>
      </w:r>
      <w:r w:rsidRPr="00F015DD">
        <w:rPr>
          <w:rFonts w:asciiTheme="majorHAnsi" w:hAnsiTheme="majorHAnsi" w:cs="Times New Roman"/>
          <w:sz w:val="22"/>
          <w:szCs w:val="22"/>
          <w:lang w:val="fr-FR"/>
        </w:rPr>
        <w:t xml:space="preserve"> </w:t>
      </w:r>
    </w:p>
    <w:p w14:paraId="484AE6A1" w14:textId="77777777" w:rsidR="00C46469" w:rsidRPr="00F015DD" w:rsidRDefault="00C46469" w:rsidP="00C46469">
      <w:pPr>
        <w:pStyle w:val="ListParagraph"/>
        <w:numPr>
          <w:ilvl w:val="0"/>
          <w:numId w:val="5"/>
        </w:numPr>
        <w:jc w:val="both"/>
        <w:rPr>
          <w:rFonts w:asciiTheme="majorHAnsi" w:hAnsiTheme="majorHAnsi" w:cs="Times New Roman"/>
          <w:sz w:val="22"/>
          <w:szCs w:val="22"/>
          <w:lang w:val="fr-FR"/>
        </w:rPr>
      </w:pPr>
      <w:r w:rsidRPr="00F015DD">
        <w:rPr>
          <w:rFonts w:asciiTheme="majorHAnsi" w:hAnsiTheme="majorHAnsi" w:cs="Times New Roman"/>
          <w:sz w:val="22"/>
          <w:szCs w:val="22"/>
          <w:lang w:val="fr-FR"/>
        </w:rPr>
        <w:t>Elle ne peut pas prévoir des pénalités qui sont incompatibles avec l'</w:t>
      </w:r>
      <w:r w:rsidR="00136F69" w:rsidRPr="00F015DD">
        <w:rPr>
          <w:rFonts w:asciiTheme="majorHAnsi" w:hAnsiTheme="majorHAnsi" w:cs="Times New Roman"/>
          <w:sz w:val="22"/>
          <w:szCs w:val="22"/>
          <w:lang w:val="fr-FR"/>
        </w:rPr>
        <w:t xml:space="preserve">ICCPR, </w:t>
      </w:r>
      <w:r w:rsidRPr="00F015DD">
        <w:rPr>
          <w:rFonts w:asciiTheme="majorHAnsi" w:hAnsiTheme="majorHAnsi" w:cs="Times New Roman"/>
          <w:sz w:val="22"/>
          <w:szCs w:val="22"/>
          <w:lang w:val="fr-FR"/>
        </w:rPr>
        <w:t>telles que les punitions corporelles</w:t>
      </w:r>
      <w:r w:rsidR="00136F69" w:rsidRPr="00F015DD">
        <w:rPr>
          <w:rStyle w:val="FootnoteReference"/>
          <w:rFonts w:asciiTheme="majorHAnsi" w:hAnsiTheme="majorHAnsi" w:cs="Times New Roman"/>
          <w:sz w:val="22"/>
          <w:szCs w:val="22"/>
          <w:lang w:val="fr-FR"/>
        </w:rPr>
        <w:footnoteReference w:id="53"/>
      </w:r>
      <w:r w:rsidR="00136F69" w:rsidRPr="00F015DD">
        <w:rPr>
          <w:rFonts w:asciiTheme="majorHAnsi" w:hAnsiTheme="majorHAnsi" w:cs="Times New Roman"/>
          <w:sz w:val="22"/>
          <w:szCs w:val="22"/>
          <w:lang w:val="fr-FR"/>
        </w:rPr>
        <w:t xml:space="preserve">. </w:t>
      </w:r>
    </w:p>
    <w:p w14:paraId="7C7E778A" w14:textId="77777777" w:rsidR="00136F69" w:rsidRPr="008956AE" w:rsidRDefault="00C46469" w:rsidP="008956AE">
      <w:pPr>
        <w:jc w:val="both"/>
        <w:rPr>
          <w:rFonts w:asciiTheme="majorHAnsi" w:hAnsiTheme="majorHAnsi" w:cs="Times New Roman"/>
          <w:sz w:val="22"/>
          <w:szCs w:val="22"/>
          <w:lang w:val="fr-FR"/>
        </w:rPr>
      </w:pPr>
      <w:r w:rsidRPr="008956AE">
        <w:rPr>
          <w:rFonts w:asciiTheme="majorHAnsi" w:hAnsiTheme="majorHAnsi" w:cs="Times"/>
          <w:b/>
          <w:lang w:val="fr-FR"/>
        </w:rPr>
        <w:t>Deuxio, les raisons pour lesquelles la restriction est adoptée sont spécifiques</w:t>
      </w:r>
      <w:r w:rsidR="00136F69" w:rsidRPr="008956AE">
        <w:rPr>
          <w:rFonts w:asciiTheme="majorHAnsi" w:hAnsiTheme="majorHAnsi" w:cs="Times"/>
          <w:b/>
          <w:lang w:val="fr-FR"/>
        </w:rPr>
        <w:t>:</w:t>
      </w:r>
      <w:r w:rsidR="00136F69" w:rsidRPr="008956AE">
        <w:rPr>
          <w:rFonts w:ascii="Times" w:hAnsi="Times" w:cs="Times"/>
          <w:lang w:val="fr-FR"/>
        </w:rPr>
        <w:t xml:space="preserve"> </w:t>
      </w:r>
      <w:r w:rsidRPr="008956AE">
        <w:rPr>
          <w:rFonts w:asciiTheme="majorHAnsi" w:hAnsiTheme="majorHAnsi"/>
          <w:i/>
          <w:color w:val="000000"/>
          <w:sz w:val="22"/>
          <w:szCs w:val="22"/>
          <w:lang w:val="fr-FR"/>
        </w:rPr>
        <w:t xml:space="preserve">(a) au respect des droits ou de la réputation d'autrui; (b) à la protection de la sécurité nationale ou de l'ordre (ordre public), ou de la santé publique ou de la morale. </w:t>
      </w:r>
      <w:r w:rsidRPr="008956AE">
        <w:rPr>
          <w:rFonts w:asciiTheme="majorHAnsi" w:hAnsiTheme="majorHAnsi"/>
          <w:color w:val="000000"/>
          <w:sz w:val="22"/>
          <w:szCs w:val="22"/>
          <w:lang w:val="fr-FR"/>
        </w:rPr>
        <w:t>Le CDH a déterminé que</w:t>
      </w:r>
      <w:r w:rsidR="00136F69" w:rsidRPr="008956AE">
        <w:rPr>
          <w:rFonts w:asciiTheme="majorHAnsi" w:hAnsiTheme="majorHAnsi"/>
          <w:color w:val="000000"/>
          <w:sz w:val="22"/>
          <w:szCs w:val="22"/>
          <w:lang w:val="fr-FR"/>
        </w:rPr>
        <w:t>:</w:t>
      </w:r>
    </w:p>
    <w:p w14:paraId="1ABCED29" w14:textId="5B1AB612" w:rsidR="00136F69" w:rsidRPr="00BC3FE3" w:rsidRDefault="00C46469" w:rsidP="00BC3FE3">
      <w:pPr>
        <w:pStyle w:val="ListParagraph"/>
        <w:widowControl w:val="0"/>
        <w:numPr>
          <w:ilvl w:val="0"/>
          <w:numId w:val="21"/>
        </w:numPr>
        <w:autoSpaceDE w:val="0"/>
        <w:autoSpaceDN w:val="0"/>
        <w:adjustRightInd w:val="0"/>
        <w:spacing w:after="240"/>
        <w:rPr>
          <w:rFonts w:asciiTheme="majorHAnsi" w:hAnsiTheme="majorHAnsi" w:cs="Times"/>
          <w:sz w:val="22"/>
          <w:szCs w:val="22"/>
          <w:lang w:val="fr-FR"/>
        </w:rPr>
      </w:pPr>
      <w:r w:rsidRPr="00BC3FE3">
        <w:rPr>
          <w:rFonts w:asciiTheme="majorHAnsi" w:hAnsiTheme="majorHAnsi" w:cs="Times New Roman"/>
          <w:sz w:val="22"/>
          <w:szCs w:val="22"/>
          <w:lang w:val="fr-FR"/>
        </w:rPr>
        <w:t>Les restrictions ne sont pas permises pour des raisons non spécifiées dans le par</w:t>
      </w:r>
      <w:r w:rsidR="00BC3FE3">
        <w:rPr>
          <w:rFonts w:asciiTheme="majorHAnsi" w:hAnsiTheme="majorHAnsi" w:cs="Times New Roman"/>
          <w:sz w:val="22"/>
          <w:szCs w:val="22"/>
          <w:lang w:val="fr-FR"/>
        </w:rPr>
        <w:t>a</w:t>
      </w:r>
      <w:r w:rsidRPr="00BC3FE3">
        <w:rPr>
          <w:rFonts w:asciiTheme="majorHAnsi" w:hAnsiTheme="majorHAnsi" w:cs="Times New Roman"/>
          <w:sz w:val="22"/>
          <w:szCs w:val="22"/>
          <w:lang w:val="fr-FR"/>
        </w:rPr>
        <w:t xml:space="preserve">graphe 3 </w:t>
      </w:r>
      <w:r w:rsidR="00BC3FE3">
        <w:rPr>
          <w:rFonts w:asciiTheme="majorHAnsi" w:hAnsiTheme="majorHAnsi" w:cs="Times New Roman"/>
          <w:sz w:val="22"/>
          <w:szCs w:val="22"/>
          <w:lang w:val="fr-FR"/>
        </w:rPr>
        <w:t>de l’article 19 ;</w:t>
      </w:r>
    </w:p>
    <w:p w14:paraId="5CE2F378" w14:textId="77777777" w:rsidR="00C46469" w:rsidRPr="00F015DD" w:rsidRDefault="00C46469" w:rsidP="00C46469">
      <w:pPr>
        <w:pStyle w:val="ListParagraph"/>
        <w:widowControl w:val="0"/>
        <w:numPr>
          <w:ilvl w:val="0"/>
          <w:numId w:val="6"/>
        </w:numPr>
        <w:autoSpaceDE w:val="0"/>
        <w:autoSpaceDN w:val="0"/>
        <w:adjustRightInd w:val="0"/>
        <w:spacing w:after="240"/>
        <w:rPr>
          <w:rFonts w:asciiTheme="majorHAnsi" w:hAnsiTheme="majorHAnsi" w:cs="Times"/>
          <w:sz w:val="22"/>
          <w:szCs w:val="22"/>
          <w:lang w:val="fr-FR"/>
        </w:rPr>
      </w:pPr>
      <w:r w:rsidRPr="00F015DD">
        <w:rPr>
          <w:rFonts w:asciiTheme="majorHAnsi" w:hAnsiTheme="majorHAnsi" w:cs="Times New Roman"/>
          <w:sz w:val="22"/>
          <w:szCs w:val="22"/>
          <w:lang w:val="fr-FR"/>
        </w:rPr>
        <w:t>En ce qui concerne la sécurité nationale "</w:t>
      </w:r>
      <w:r w:rsidRPr="00F015DD">
        <w:rPr>
          <w:rFonts w:asciiTheme="majorHAnsi" w:hAnsiTheme="majorHAnsi"/>
          <w:color w:val="000000"/>
          <w:sz w:val="22"/>
          <w:szCs w:val="22"/>
          <w:lang w:val="fr-FR"/>
        </w:rPr>
        <w:t xml:space="preserve">il serait incompatible avec le paragraphe 3 d'invoquer, par exemple, de telles lois pour dissimuler ou refuser de divulguer des informations d'intérêt public </w:t>
      </w:r>
      <w:r w:rsidRPr="00F015DD">
        <w:rPr>
          <w:rFonts w:asciiTheme="majorHAnsi" w:hAnsiTheme="majorHAnsi" w:cs="Times New Roman"/>
          <w:sz w:val="22"/>
          <w:szCs w:val="22"/>
          <w:lang w:val="fr-FR"/>
        </w:rPr>
        <w:t>qui ne portent pas atteinte à la sécurité nationale ou pour poursuivre des journalistes, des chercheurs, des activistes environnementaux ou des droits de l'homme ou autres pour avoir diffusé de telles informations..."</w:t>
      </w:r>
      <w:r w:rsidRPr="00F015DD">
        <w:rPr>
          <w:rFonts w:asciiTheme="majorHAnsi" w:hAnsiTheme="majorHAnsi" w:cs="Times New Roman"/>
          <w:i/>
          <w:sz w:val="22"/>
          <w:szCs w:val="22"/>
          <w:lang w:val="fr-FR"/>
        </w:rPr>
        <w:t xml:space="preserve">   </w:t>
      </w:r>
    </w:p>
    <w:p w14:paraId="09A31791" w14:textId="77777777" w:rsidR="00136F69" w:rsidRPr="00F015DD" w:rsidRDefault="00136F69" w:rsidP="00136F69">
      <w:pPr>
        <w:pStyle w:val="ListParagraph"/>
        <w:jc w:val="both"/>
        <w:rPr>
          <w:rFonts w:asciiTheme="majorHAnsi" w:hAnsiTheme="majorHAnsi" w:cs="Arial"/>
          <w:sz w:val="22"/>
          <w:szCs w:val="22"/>
          <w:lang w:val="fr-FR"/>
        </w:rPr>
      </w:pPr>
    </w:p>
    <w:p w14:paraId="50CBC867" w14:textId="77777777" w:rsidR="00136F69" w:rsidRPr="00F015DD" w:rsidRDefault="00C46469" w:rsidP="00136F69">
      <w:pPr>
        <w:widowControl w:val="0"/>
        <w:autoSpaceDE w:val="0"/>
        <w:autoSpaceDN w:val="0"/>
        <w:adjustRightInd w:val="0"/>
        <w:rPr>
          <w:rFonts w:asciiTheme="majorHAnsi" w:hAnsiTheme="majorHAnsi" w:cs="Times New Roman"/>
          <w:sz w:val="22"/>
          <w:szCs w:val="22"/>
          <w:lang w:val="fr-FR"/>
        </w:rPr>
      </w:pPr>
      <w:r w:rsidRPr="00F015DD">
        <w:rPr>
          <w:rFonts w:asciiTheme="majorHAnsi" w:hAnsiTheme="majorHAnsi" w:cs="Times New Roman"/>
          <w:b/>
          <w:sz w:val="22"/>
          <w:szCs w:val="22"/>
          <w:lang w:val="fr-FR"/>
        </w:rPr>
        <w:t>Tertio</w:t>
      </w:r>
      <w:r w:rsidR="00136F69" w:rsidRPr="00F015DD">
        <w:rPr>
          <w:rFonts w:asciiTheme="majorHAnsi" w:hAnsiTheme="majorHAnsi" w:cs="Times New Roman"/>
          <w:b/>
          <w:sz w:val="22"/>
          <w:szCs w:val="22"/>
          <w:lang w:val="fr-FR"/>
        </w:rPr>
        <w:t>,</w:t>
      </w:r>
      <w:r w:rsidR="00136F69" w:rsidRPr="00F015DD">
        <w:rPr>
          <w:rFonts w:asciiTheme="majorHAnsi" w:hAnsiTheme="majorHAnsi" w:cs="Times New Roman"/>
          <w:sz w:val="22"/>
          <w:szCs w:val="22"/>
          <w:lang w:val="fr-FR"/>
        </w:rPr>
        <w:t xml:space="preserve"> </w:t>
      </w:r>
      <w:r w:rsidRPr="00F015DD">
        <w:rPr>
          <w:rFonts w:asciiTheme="majorHAnsi" w:hAnsiTheme="majorHAnsi" w:cs="Times New Roman"/>
          <w:sz w:val="22"/>
          <w:szCs w:val="22"/>
          <w:lang w:val="fr-FR"/>
        </w:rPr>
        <w:t>les</w:t>
      </w:r>
      <w:r w:rsidR="00136F69" w:rsidRPr="00F015DD">
        <w:rPr>
          <w:rFonts w:asciiTheme="majorHAnsi" w:hAnsiTheme="majorHAnsi" w:cs="Times New Roman"/>
          <w:sz w:val="22"/>
          <w:szCs w:val="22"/>
          <w:lang w:val="fr-FR"/>
        </w:rPr>
        <w:t xml:space="preserve"> restrictions </w:t>
      </w:r>
      <w:r w:rsidRPr="00F015DD">
        <w:rPr>
          <w:rFonts w:asciiTheme="majorHAnsi" w:hAnsiTheme="majorHAnsi" w:cs="Times New Roman"/>
          <w:sz w:val="22"/>
          <w:szCs w:val="22"/>
          <w:lang w:val="fr-FR"/>
        </w:rPr>
        <w:t xml:space="preserve">doivent être </w:t>
      </w:r>
      <w:r w:rsidR="00136F69" w:rsidRPr="00F015DD">
        <w:rPr>
          <w:rFonts w:asciiTheme="majorHAnsi" w:hAnsiTheme="majorHAnsi" w:cs="Times New Roman"/>
          <w:sz w:val="22"/>
          <w:szCs w:val="22"/>
          <w:lang w:val="fr-FR"/>
        </w:rPr>
        <w:t>“</w:t>
      </w:r>
      <w:r w:rsidR="00136F69" w:rsidRPr="00F015DD">
        <w:rPr>
          <w:rFonts w:asciiTheme="majorHAnsi" w:hAnsiTheme="majorHAnsi" w:cs="Times New Roman"/>
          <w:b/>
          <w:sz w:val="22"/>
          <w:szCs w:val="22"/>
          <w:lang w:val="fr-FR"/>
        </w:rPr>
        <w:t>n</w:t>
      </w:r>
      <w:r w:rsidRPr="00F015DD">
        <w:rPr>
          <w:rFonts w:asciiTheme="majorHAnsi" w:hAnsiTheme="majorHAnsi" w:cs="Times New Roman"/>
          <w:b/>
          <w:sz w:val="22"/>
          <w:szCs w:val="22"/>
          <w:lang w:val="fr-FR"/>
        </w:rPr>
        <w:t>é</w:t>
      </w:r>
      <w:r w:rsidR="00136F69" w:rsidRPr="00F015DD">
        <w:rPr>
          <w:rFonts w:asciiTheme="majorHAnsi" w:hAnsiTheme="majorHAnsi" w:cs="Times New Roman"/>
          <w:b/>
          <w:sz w:val="22"/>
          <w:szCs w:val="22"/>
          <w:lang w:val="fr-FR"/>
        </w:rPr>
        <w:t>cessa</w:t>
      </w:r>
      <w:r w:rsidRPr="00F015DD">
        <w:rPr>
          <w:rFonts w:asciiTheme="majorHAnsi" w:hAnsiTheme="majorHAnsi" w:cs="Times New Roman"/>
          <w:b/>
          <w:sz w:val="22"/>
          <w:szCs w:val="22"/>
          <w:lang w:val="fr-FR"/>
        </w:rPr>
        <w:t>ires</w:t>
      </w:r>
      <w:r w:rsidR="00136F69" w:rsidRPr="00F015DD">
        <w:rPr>
          <w:rFonts w:asciiTheme="majorHAnsi" w:hAnsiTheme="majorHAnsi" w:cs="Times New Roman"/>
          <w:b/>
          <w:sz w:val="22"/>
          <w:szCs w:val="22"/>
          <w:lang w:val="fr-FR"/>
        </w:rPr>
        <w:t>.</w:t>
      </w:r>
      <w:r w:rsidR="00136F69" w:rsidRPr="00F015DD">
        <w:rPr>
          <w:rFonts w:asciiTheme="majorHAnsi" w:hAnsiTheme="majorHAnsi" w:cs="Times New Roman"/>
          <w:sz w:val="22"/>
          <w:szCs w:val="22"/>
          <w:lang w:val="fr-FR"/>
        </w:rPr>
        <w:t xml:space="preserve">” </w:t>
      </w:r>
      <w:r w:rsidRPr="00F015DD">
        <w:rPr>
          <w:rFonts w:asciiTheme="majorHAnsi" w:hAnsiTheme="majorHAnsi" w:cs="Times New Roman"/>
          <w:sz w:val="22"/>
          <w:szCs w:val="22"/>
          <w:lang w:val="fr-FR"/>
        </w:rPr>
        <w:t xml:space="preserve">Le CDH a interprété le test de la nécessité pour exiger que les restrictions répondent à un certain nombre de conditions dont celles relatives à leur </w:t>
      </w:r>
      <w:r w:rsidR="00136F69" w:rsidRPr="00F015DD">
        <w:rPr>
          <w:rFonts w:asciiTheme="majorHAnsi" w:hAnsiTheme="majorHAnsi" w:cs="Times New Roman"/>
          <w:b/>
          <w:sz w:val="22"/>
          <w:szCs w:val="22"/>
          <w:lang w:val="fr-FR"/>
        </w:rPr>
        <w:t>proportion</w:t>
      </w:r>
      <w:r w:rsidRPr="00F015DD">
        <w:rPr>
          <w:rFonts w:asciiTheme="majorHAnsi" w:hAnsiTheme="majorHAnsi" w:cs="Times New Roman"/>
          <w:b/>
          <w:sz w:val="22"/>
          <w:szCs w:val="22"/>
          <w:lang w:val="fr-FR"/>
        </w:rPr>
        <w:t>n</w:t>
      </w:r>
      <w:r w:rsidR="00136F69" w:rsidRPr="00F015DD">
        <w:rPr>
          <w:rFonts w:asciiTheme="majorHAnsi" w:hAnsiTheme="majorHAnsi" w:cs="Times New Roman"/>
          <w:b/>
          <w:sz w:val="22"/>
          <w:szCs w:val="22"/>
          <w:lang w:val="fr-FR"/>
        </w:rPr>
        <w:t>alit</w:t>
      </w:r>
      <w:r w:rsidRPr="00F015DD">
        <w:rPr>
          <w:rFonts w:asciiTheme="majorHAnsi" w:hAnsiTheme="majorHAnsi" w:cs="Times New Roman"/>
          <w:b/>
          <w:sz w:val="22"/>
          <w:szCs w:val="22"/>
          <w:lang w:val="fr-FR"/>
        </w:rPr>
        <w:t>é</w:t>
      </w:r>
      <w:r w:rsidR="00136F69" w:rsidRPr="00F015DD">
        <w:rPr>
          <w:rFonts w:asciiTheme="majorHAnsi" w:hAnsiTheme="majorHAnsi" w:cs="Times New Roman"/>
          <w:sz w:val="22"/>
          <w:szCs w:val="22"/>
          <w:lang w:val="fr-FR"/>
        </w:rPr>
        <w:t xml:space="preserve">: </w:t>
      </w:r>
    </w:p>
    <w:p w14:paraId="34D3F022" w14:textId="0217F58B" w:rsidR="00136F69" w:rsidRPr="00F015DD" w:rsidRDefault="00C46469" w:rsidP="00136F69">
      <w:pPr>
        <w:pStyle w:val="ListParagraph"/>
        <w:widowControl w:val="0"/>
        <w:numPr>
          <w:ilvl w:val="0"/>
          <w:numId w:val="7"/>
        </w:numPr>
        <w:autoSpaceDE w:val="0"/>
        <w:autoSpaceDN w:val="0"/>
        <w:adjustRightInd w:val="0"/>
        <w:rPr>
          <w:rFonts w:asciiTheme="majorHAnsi" w:hAnsiTheme="majorHAnsi" w:cs="Times New Roman"/>
          <w:sz w:val="22"/>
          <w:szCs w:val="22"/>
          <w:lang w:val="fr-FR"/>
        </w:rPr>
      </w:pPr>
      <w:r w:rsidRPr="00F015DD">
        <w:rPr>
          <w:rFonts w:asciiTheme="majorHAnsi" w:hAnsiTheme="majorHAnsi" w:cs="Times New Roman"/>
          <w:sz w:val="22"/>
          <w:szCs w:val="22"/>
          <w:lang w:val="fr-FR"/>
        </w:rPr>
        <w:lastRenderedPageBreak/>
        <w:t xml:space="preserve">Les restrictions doivent poursuivre un but légitime </w:t>
      </w:r>
      <w:r w:rsidR="00136F69" w:rsidRPr="00F015DD">
        <w:rPr>
          <w:rFonts w:asciiTheme="majorHAnsi" w:hAnsiTheme="majorHAnsi" w:cs="Times New Roman"/>
          <w:sz w:val="22"/>
          <w:szCs w:val="22"/>
          <w:lang w:val="fr-FR"/>
        </w:rPr>
        <w:t>(</w:t>
      </w:r>
      <w:r w:rsidRPr="00F015DD">
        <w:rPr>
          <w:rFonts w:asciiTheme="majorHAnsi" w:hAnsiTheme="majorHAnsi" w:cs="Times New Roman"/>
          <w:sz w:val="22"/>
          <w:szCs w:val="22"/>
          <w:lang w:val="fr-FR"/>
        </w:rPr>
        <w:t>l'une des raisons sus mentionnées</w:t>
      </w:r>
      <w:r w:rsidR="00136F69" w:rsidRPr="00F015DD">
        <w:rPr>
          <w:rFonts w:asciiTheme="majorHAnsi" w:hAnsiTheme="majorHAnsi" w:cs="Times New Roman"/>
          <w:sz w:val="22"/>
          <w:szCs w:val="22"/>
          <w:lang w:val="fr-FR"/>
        </w:rPr>
        <w:t>)</w:t>
      </w:r>
      <w:r w:rsidR="00BC3FE3">
        <w:rPr>
          <w:rFonts w:asciiTheme="majorHAnsi" w:hAnsiTheme="majorHAnsi" w:cs="Times New Roman"/>
          <w:sz w:val="22"/>
          <w:szCs w:val="22"/>
          <w:lang w:val="fr-FR"/>
        </w:rPr>
        <w:t> ;</w:t>
      </w:r>
    </w:p>
    <w:p w14:paraId="41B02497" w14:textId="0E545E91" w:rsidR="00136F69" w:rsidRPr="00F015DD" w:rsidRDefault="00C46469" w:rsidP="00136F69">
      <w:pPr>
        <w:pStyle w:val="ListParagraph"/>
        <w:widowControl w:val="0"/>
        <w:numPr>
          <w:ilvl w:val="0"/>
          <w:numId w:val="7"/>
        </w:numPr>
        <w:autoSpaceDE w:val="0"/>
        <w:autoSpaceDN w:val="0"/>
        <w:adjustRightInd w:val="0"/>
        <w:rPr>
          <w:rFonts w:asciiTheme="majorHAnsi" w:hAnsiTheme="majorHAnsi" w:cs="Times New Roman"/>
          <w:sz w:val="22"/>
          <w:szCs w:val="22"/>
          <w:lang w:val="fr-FR"/>
        </w:rPr>
      </w:pPr>
      <w:r w:rsidRPr="00F015DD">
        <w:rPr>
          <w:rFonts w:asciiTheme="majorHAnsi" w:hAnsiTheme="majorHAnsi" w:cs="Times New Roman"/>
          <w:sz w:val="22"/>
          <w:szCs w:val="22"/>
          <w:lang w:val="fr-FR"/>
        </w:rPr>
        <w:t>Elles ne doivent pas être trop étendues</w:t>
      </w:r>
      <w:r w:rsidR="00BC3FE3">
        <w:rPr>
          <w:rFonts w:asciiTheme="majorHAnsi" w:hAnsiTheme="majorHAnsi" w:cs="Times New Roman"/>
          <w:sz w:val="22"/>
          <w:szCs w:val="22"/>
          <w:lang w:val="fr-FR"/>
        </w:rPr>
        <w:t> ;</w:t>
      </w:r>
      <w:r w:rsidRPr="00F015DD">
        <w:rPr>
          <w:rFonts w:asciiTheme="majorHAnsi" w:hAnsiTheme="majorHAnsi" w:cs="Times New Roman"/>
          <w:sz w:val="22"/>
          <w:szCs w:val="22"/>
          <w:lang w:val="fr-FR"/>
        </w:rPr>
        <w:t xml:space="preserve"> </w:t>
      </w:r>
    </w:p>
    <w:p w14:paraId="1D787F56" w14:textId="34373DCF" w:rsidR="00136F69" w:rsidRPr="00F015DD" w:rsidRDefault="00C46469" w:rsidP="00136F69">
      <w:pPr>
        <w:pStyle w:val="ListParagraph"/>
        <w:widowControl w:val="0"/>
        <w:numPr>
          <w:ilvl w:val="0"/>
          <w:numId w:val="7"/>
        </w:numPr>
        <w:autoSpaceDE w:val="0"/>
        <w:autoSpaceDN w:val="0"/>
        <w:adjustRightInd w:val="0"/>
        <w:rPr>
          <w:rFonts w:asciiTheme="majorHAnsi" w:hAnsiTheme="majorHAnsi" w:cs="Times"/>
          <w:sz w:val="22"/>
          <w:szCs w:val="22"/>
          <w:lang w:val="fr-FR"/>
        </w:rPr>
      </w:pPr>
      <w:r w:rsidRPr="00F015DD">
        <w:rPr>
          <w:rFonts w:asciiTheme="majorHAnsi" w:hAnsiTheme="majorHAnsi" w:cs="Times New Roman"/>
          <w:sz w:val="22"/>
          <w:szCs w:val="22"/>
          <w:lang w:val="fr-FR"/>
        </w:rPr>
        <w:t>Elles doivent être appliquées uniquement pour servir les buts pour lesquels elles ont été prescrites et doivent êtr</w:t>
      </w:r>
      <w:r w:rsidR="00BC3FE3">
        <w:rPr>
          <w:rFonts w:asciiTheme="majorHAnsi" w:hAnsiTheme="majorHAnsi" w:cs="Times New Roman"/>
          <w:sz w:val="22"/>
          <w:szCs w:val="22"/>
          <w:lang w:val="fr-FR"/>
        </w:rPr>
        <w:t>e directement en rapport avec</w:t>
      </w:r>
      <w:r w:rsidRPr="00F015DD">
        <w:rPr>
          <w:rFonts w:asciiTheme="majorHAnsi" w:hAnsiTheme="majorHAnsi" w:cs="Times New Roman"/>
          <w:sz w:val="22"/>
          <w:szCs w:val="22"/>
          <w:lang w:val="fr-FR"/>
        </w:rPr>
        <w:t xml:space="preserve"> l'objectif spécifique qui les inspire</w:t>
      </w:r>
      <w:r w:rsidR="00BC3FE3">
        <w:rPr>
          <w:rFonts w:asciiTheme="majorHAnsi" w:hAnsiTheme="majorHAnsi" w:cs="Times New Roman"/>
          <w:sz w:val="22"/>
          <w:szCs w:val="22"/>
          <w:lang w:val="fr-FR"/>
        </w:rPr>
        <w:t> ;</w:t>
      </w:r>
      <w:r w:rsidR="00136F69" w:rsidRPr="00F015DD">
        <w:rPr>
          <w:rFonts w:asciiTheme="majorHAnsi" w:hAnsiTheme="majorHAnsi" w:cs="Times New Roman"/>
          <w:sz w:val="22"/>
          <w:szCs w:val="22"/>
          <w:lang w:val="fr-FR"/>
        </w:rPr>
        <w:t xml:space="preserve"> </w:t>
      </w:r>
    </w:p>
    <w:p w14:paraId="32B9CED9" w14:textId="77777777" w:rsidR="00136F69" w:rsidRPr="00F015DD" w:rsidRDefault="00C46469" w:rsidP="00136F69">
      <w:pPr>
        <w:pStyle w:val="ListParagraph"/>
        <w:widowControl w:val="0"/>
        <w:numPr>
          <w:ilvl w:val="0"/>
          <w:numId w:val="7"/>
        </w:numPr>
        <w:autoSpaceDE w:val="0"/>
        <w:autoSpaceDN w:val="0"/>
        <w:adjustRightInd w:val="0"/>
        <w:rPr>
          <w:rFonts w:asciiTheme="majorHAnsi" w:hAnsiTheme="majorHAnsi" w:cs="Times"/>
          <w:sz w:val="22"/>
          <w:szCs w:val="22"/>
          <w:lang w:val="fr-FR"/>
        </w:rPr>
      </w:pPr>
      <w:r w:rsidRPr="00F015DD">
        <w:rPr>
          <w:rFonts w:asciiTheme="majorHAnsi" w:hAnsiTheme="majorHAnsi" w:cs="Times New Roman"/>
          <w:sz w:val="22"/>
          <w:szCs w:val="22"/>
          <w:lang w:val="fr-FR"/>
        </w:rPr>
        <w:t>Elles doivent être appropriées pour remplir leur fonction de protection</w:t>
      </w:r>
      <w:r w:rsidR="00136F69" w:rsidRPr="00F015DD">
        <w:rPr>
          <w:rFonts w:asciiTheme="majorHAnsi" w:hAnsiTheme="majorHAnsi" w:cs="Times New Roman"/>
          <w:sz w:val="22"/>
          <w:szCs w:val="22"/>
          <w:lang w:val="fr-FR"/>
        </w:rPr>
        <w:t xml:space="preserve">; </w:t>
      </w:r>
    </w:p>
    <w:p w14:paraId="1D41350C" w14:textId="1D02AEEE" w:rsidR="00136F69" w:rsidRPr="00F015DD" w:rsidRDefault="00C46469" w:rsidP="00136F69">
      <w:pPr>
        <w:pStyle w:val="ListParagraph"/>
        <w:widowControl w:val="0"/>
        <w:numPr>
          <w:ilvl w:val="0"/>
          <w:numId w:val="7"/>
        </w:numPr>
        <w:autoSpaceDE w:val="0"/>
        <w:autoSpaceDN w:val="0"/>
        <w:adjustRightInd w:val="0"/>
        <w:rPr>
          <w:rFonts w:asciiTheme="majorHAnsi" w:hAnsiTheme="majorHAnsi" w:cs="Times"/>
          <w:sz w:val="22"/>
          <w:szCs w:val="22"/>
          <w:lang w:val="fr-FR"/>
        </w:rPr>
      </w:pPr>
      <w:r w:rsidRPr="00F015DD">
        <w:rPr>
          <w:rFonts w:asciiTheme="majorHAnsi" w:hAnsiTheme="majorHAnsi" w:cs="Times New Roman"/>
          <w:sz w:val="22"/>
          <w:szCs w:val="22"/>
          <w:lang w:val="fr-FR"/>
        </w:rPr>
        <w:t xml:space="preserve">Elles </w:t>
      </w:r>
      <w:r w:rsidRPr="00F015DD">
        <w:rPr>
          <w:rFonts w:asciiTheme="majorHAnsi" w:hAnsiTheme="majorHAnsi" w:cs="Arial"/>
          <w:color w:val="2E2E2E"/>
          <w:sz w:val="22"/>
          <w:szCs w:val="22"/>
          <w:lang w:val="fr-FR"/>
        </w:rPr>
        <w:t>doivent cons</w:t>
      </w:r>
      <w:r w:rsidRPr="00F015DD">
        <w:rPr>
          <w:rFonts w:asciiTheme="majorHAnsi" w:hAnsiTheme="majorHAnsi" w:cs="Arial"/>
          <w:color w:val="242424"/>
          <w:sz w:val="22"/>
          <w:szCs w:val="22"/>
          <w:lang w:val="fr-FR"/>
        </w:rPr>
        <w:t>ti</w:t>
      </w:r>
      <w:r w:rsidRPr="00F015DD">
        <w:rPr>
          <w:rFonts w:asciiTheme="majorHAnsi" w:hAnsiTheme="majorHAnsi" w:cs="Arial"/>
          <w:color w:val="1B1B1B"/>
          <w:sz w:val="22"/>
          <w:szCs w:val="22"/>
          <w:lang w:val="fr-FR"/>
        </w:rPr>
        <w:t xml:space="preserve">tuer </w:t>
      </w:r>
      <w:r w:rsidRPr="00F015DD">
        <w:rPr>
          <w:rFonts w:asciiTheme="majorHAnsi" w:hAnsiTheme="majorHAnsi" w:cs="Arial"/>
          <w:color w:val="131313"/>
          <w:sz w:val="22"/>
          <w:szCs w:val="22"/>
          <w:lang w:val="fr-FR"/>
        </w:rPr>
        <w:t>le</w:t>
      </w:r>
      <w:r w:rsidRPr="00F015DD">
        <w:rPr>
          <w:rFonts w:asciiTheme="majorHAnsi" w:hAnsiTheme="majorHAnsi" w:cs="Arial"/>
          <w:color w:val="1B1B1B"/>
          <w:sz w:val="22"/>
          <w:szCs w:val="22"/>
          <w:lang w:val="fr-FR"/>
        </w:rPr>
        <w:t xml:space="preserve"> m</w:t>
      </w:r>
      <w:r w:rsidRPr="00F015DD">
        <w:rPr>
          <w:rFonts w:asciiTheme="majorHAnsi" w:hAnsiTheme="majorHAnsi" w:cs="Arial"/>
          <w:color w:val="131313"/>
          <w:sz w:val="22"/>
          <w:szCs w:val="22"/>
          <w:lang w:val="fr-FR"/>
        </w:rPr>
        <w:t>oye</w:t>
      </w:r>
      <w:r w:rsidRPr="00F015DD">
        <w:rPr>
          <w:rFonts w:asciiTheme="majorHAnsi" w:hAnsiTheme="majorHAnsi" w:cs="Arial"/>
          <w:color w:val="0B0B0B"/>
          <w:sz w:val="22"/>
          <w:szCs w:val="22"/>
          <w:lang w:val="fr-FR"/>
        </w:rPr>
        <w:t>n l</w:t>
      </w:r>
      <w:r w:rsidRPr="00F015DD">
        <w:rPr>
          <w:rFonts w:asciiTheme="majorHAnsi" w:hAnsiTheme="majorHAnsi" w:cs="Arial"/>
          <w:color w:val="2E2E2E"/>
          <w:sz w:val="22"/>
          <w:szCs w:val="22"/>
          <w:lang w:val="fr-FR"/>
        </w:rPr>
        <w:t>e moins p</w:t>
      </w:r>
      <w:r w:rsidRPr="00F015DD">
        <w:rPr>
          <w:rFonts w:asciiTheme="majorHAnsi" w:hAnsiTheme="majorHAnsi" w:cs="Arial"/>
          <w:color w:val="0B0B0B"/>
          <w:sz w:val="22"/>
          <w:szCs w:val="22"/>
          <w:lang w:val="fr-FR"/>
        </w:rPr>
        <w:t>erturbateu</w:t>
      </w:r>
      <w:r w:rsidRPr="00F015DD">
        <w:rPr>
          <w:rFonts w:asciiTheme="majorHAnsi" w:hAnsiTheme="majorHAnsi" w:cs="Arial"/>
          <w:color w:val="2E2E2E"/>
          <w:sz w:val="22"/>
          <w:szCs w:val="22"/>
          <w:lang w:val="fr-FR"/>
        </w:rPr>
        <w:t>r parmi ceux</w:t>
      </w:r>
      <w:r w:rsidRPr="00F015DD">
        <w:rPr>
          <w:rFonts w:asciiTheme="majorHAnsi" w:hAnsiTheme="majorHAnsi" w:cs="Arial"/>
          <w:color w:val="0B0B0B"/>
          <w:sz w:val="22"/>
          <w:szCs w:val="22"/>
          <w:lang w:val="fr-FR"/>
        </w:rPr>
        <w:t xml:space="preserve"> qu</w:t>
      </w:r>
      <w:r w:rsidRPr="00F015DD">
        <w:rPr>
          <w:rFonts w:asciiTheme="majorHAnsi" w:hAnsiTheme="majorHAnsi" w:cs="Arial"/>
          <w:color w:val="131313"/>
          <w:sz w:val="22"/>
          <w:szCs w:val="22"/>
          <w:lang w:val="fr-FR"/>
        </w:rPr>
        <w:t>i p</w:t>
      </w:r>
      <w:r w:rsidRPr="00F015DD">
        <w:rPr>
          <w:rFonts w:asciiTheme="majorHAnsi" w:hAnsiTheme="majorHAnsi" w:cs="Arial"/>
          <w:color w:val="1B1B1B"/>
          <w:sz w:val="22"/>
          <w:szCs w:val="22"/>
          <w:lang w:val="fr-FR"/>
        </w:rPr>
        <w:t>ourra</w:t>
      </w:r>
      <w:r w:rsidRPr="00F015DD">
        <w:rPr>
          <w:rFonts w:asciiTheme="majorHAnsi" w:hAnsiTheme="majorHAnsi" w:cs="Arial"/>
          <w:color w:val="242424"/>
          <w:sz w:val="22"/>
          <w:szCs w:val="22"/>
          <w:lang w:val="fr-FR"/>
        </w:rPr>
        <w:t>ie</w:t>
      </w:r>
      <w:r w:rsidR="00BC3FE3">
        <w:rPr>
          <w:rFonts w:asciiTheme="majorHAnsi" w:hAnsiTheme="majorHAnsi" w:cs="Arial"/>
          <w:color w:val="2E2E2E"/>
          <w:sz w:val="22"/>
          <w:szCs w:val="22"/>
          <w:lang w:val="fr-FR"/>
        </w:rPr>
        <w:t>nt remplir une</w:t>
      </w:r>
      <w:r w:rsidRPr="00F015DD">
        <w:rPr>
          <w:rFonts w:asciiTheme="majorHAnsi" w:hAnsiTheme="majorHAnsi" w:cs="Arial"/>
          <w:color w:val="2E2E2E"/>
          <w:sz w:val="22"/>
          <w:szCs w:val="22"/>
          <w:lang w:val="fr-FR"/>
        </w:rPr>
        <w:t xml:space="preserve"> fonction de protection</w:t>
      </w:r>
      <w:r w:rsidR="00136F69" w:rsidRPr="00F015DD">
        <w:rPr>
          <w:rFonts w:asciiTheme="majorHAnsi" w:hAnsiTheme="majorHAnsi" w:cs="Times New Roman"/>
          <w:sz w:val="22"/>
          <w:szCs w:val="22"/>
          <w:lang w:val="fr-FR"/>
        </w:rPr>
        <w:t>.</w:t>
      </w:r>
    </w:p>
    <w:p w14:paraId="699CDB82" w14:textId="77777777" w:rsidR="00136F69" w:rsidRPr="00F015DD" w:rsidRDefault="00136F69" w:rsidP="00136F69">
      <w:pPr>
        <w:widowControl w:val="0"/>
        <w:autoSpaceDE w:val="0"/>
        <w:autoSpaceDN w:val="0"/>
        <w:adjustRightInd w:val="0"/>
        <w:rPr>
          <w:rFonts w:asciiTheme="majorHAnsi" w:hAnsiTheme="majorHAnsi" w:cs="Times"/>
          <w:sz w:val="22"/>
          <w:szCs w:val="22"/>
          <w:lang w:val="fr-FR"/>
        </w:rPr>
      </w:pPr>
    </w:p>
    <w:p w14:paraId="419DF560" w14:textId="77777777" w:rsidR="00136F69" w:rsidRPr="00F015DD" w:rsidRDefault="00C46469" w:rsidP="00136F69">
      <w:pPr>
        <w:widowControl w:val="0"/>
        <w:autoSpaceDE w:val="0"/>
        <w:autoSpaceDN w:val="0"/>
        <w:adjustRightInd w:val="0"/>
        <w:rPr>
          <w:rFonts w:asciiTheme="majorHAnsi" w:hAnsiTheme="majorHAnsi" w:cs="Times"/>
          <w:sz w:val="22"/>
          <w:szCs w:val="22"/>
          <w:lang w:val="fr-FR"/>
        </w:rPr>
      </w:pPr>
      <w:r w:rsidRPr="00F015DD">
        <w:rPr>
          <w:rFonts w:asciiTheme="majorHAnsi" w:hAnsiTheme="majorHAnsi" w:cs="Times"/>
          <w:sz w:val="22"/>
          <w:szCs w:val="22"/>
          <w:lang w:val="fr-FR"/>
        </w:rPr>
        <w:t>En outre</w:t>
      </w:r>
      <w:r w:rsidR="00136F69" w:rsidRPr="00F015DD">
        <w:rPr>
          <w:rFonts w:asciiTheme="majorHAnsi" w:hAnsiTheme="majorHAnsi" w:cs="Times"/>
          <w:sz w:val="22"/>
          <w:szCs w:val="22"/>
          <w:lang w:val="fr-FR"/>
        </w:rPr>
        <w:t xml:space="preserve">, </w:t>
      </w:r>
      <w:r w:rsidRPr="00F015DD">
        <w:rPr>
          <w:rFonts w:asciiTheme="majorHAnsi" w:hAnsiTheme="majorHAnsi" w:cs="Times"/>
          <w:sz w:val="22"/>
          <w:szCs w:val="22"/>
          <w:lang w:val="fr-FR"/>
        </w:rPr>
        <w:t xml:space="preserve">l'observation générale </w:t>
      </w:r>
      <w:r w:rsidR="00136F69" w:rsidRPr="00F015DD">
        <w:rPr>
          <w:rFonts w:asciiTheme="majorHAnsi" w:hAnsiTheme="majorHAnsi" w:cs="Times"/>
          <w:sz w:val="22"/>
          <w:szCs w:val="22"/>
          <w:lang w:val="fr-FR"/>
        </w:rPr>
        <w:t xml:space="preserve">34 </w:t>
      </w:r>
      <w:r w:rsidRPr="00F015DD">
        <w:rPr>
          <w:rFonts w:asciiTheme="majorHAnsi" w:hAnsiTheme="majorHAnsi" w:cs="Times"/>
          <w:sz w:val="22"/>
          <w:szCs w:val="22"/>
          <w:lang w:val="fr-FR"/>
        </w:rPr>
        <w:t>fait aussi mention de ce qui sui</w:t>
      </w:r>
      <w:r w:rsidR="00136F69" w:rsidRPr="00F015DD">
        <w:rPr>
          <w:rFonts w:asciiTheme="majorHAnsi" w:hAnsiTheme="majorHAnsi" w:cs="Times"/>
          <w:sz w:val="22"/>
          <w:szCs w:val="22"/>
          <w:lang w:val="fr-FR"/>
        </w:rPr>
        <w:t>t</w:t>
      </w:r>
      <w:r w:rsidRPr="00F015DD">
        <w:rPr>
          <w:rFonts w:asciiTheme="majorHAnsi" w:hAnsiTheme="majorHAnsi" w:cs="Times"/>
          <w:sz w:val="22"/>
          <w:szCs w:val="22"/>
          <w:lang w:val="fr-FR"/>
        </w:rPr>
        <w:t>:</w:t>
      </w:r>
      <w:r w:rsidR="00136F69" w:rsidRPr="00F015DD">
        <w:rPr>
          <w:rFonts w:asciiTheme="majorHAnsi" w:hAnsiTheme="majorHAnsi" w:cs="Times"/>
          <w:sz w:val="22"/>
          <w:szCs w:val="22"/>
          <w:lang w:val="fr-FR"/>
        </w:rPr>
        <w:t xml:space="preserve"> </w:t>
      </w:r>
    </w:p>
    <w:p w14:paraId="63DB33F9" w14:textId="77D8ACF5" w:rsidR="00136F69" w:rsidRPr="00F015DD" w:rsidRDefault="00136F69" w:rsidP="00136F69">
      <w:pPr>
        <w:pStyle w:val="ListParagraph"/>
        <w:widowControl w:val="0"/>
        <w:numPr>
          <w:ilvl w:val="0"/>
          <w:numId w:val="7"/>
        </w:numPr>
        <w:autoSpaceDE w:val="0"/>
        <w:autoSpaceDN w:val="0"/>
        <w:adjustRightInd w:val="0"/>
        <w:spacing w:after="240"/>
        <w:rPr>
          <w:rFonts w:asciiTheme="majorHAnsi" w:hAnsiTheme="majorHAnsi" w:cs="Times"/>
          <w:sz w:val="22"/>
          <w:szCs w:val="22"/>
          <w:lang w:val="fr-FR"/>
        </w:rPr>
      </w:pPr>
      <w:r w:rsidRPr="00F015DD">
        <w:rPr>
          <w:rFonts w:asciiTheme="majorHAnsi" w:hAnsiTheme="majorHAnsi" w:cs="Times New Roman"/>
          <w:sz w:val="22"/>
          <w:szCs w:val="22"/>
          <w:lang w:val="fr-FR"/>
        </w:rPr>
        <w:t>“</w:t>
      </w:r>
      <w:r w:rsidR="00C46469" w:rsidRPr="00F015DD">
        <w:rPr>
          <w:rFonts w:asciiTheme="majorHAnsi" w:hAnsiTheme="majorHAnsi"/>
          <w:sz w:val="22"/>
          <w:szCs w:val="22"/>
          <w:lang w:val="fr-FR"/>
        </w:rPr>
        <w:t>Le principe de la proportionnalité doit également tenir compte de la forme d’expression en cause ainsi que des moyens de diffusion utilisés. Par exemple, le Pacte accorde une importance particulière à l’expression sans entraves dans le cadre des débats publics concernant des personnalités du domaine public et politique qui sont tenus dans une société démocratique</w:t>
      </w:r>
      <w:r w:rsidRPr="00F015DD">
        <w:rPr>
          <w:rStyle w:val="FootnoteReference"/>
          <w:rFonts w:asciiTheme="majorHAnsi" w:hAnsiTheme="majorHAnsi" w:cs="Times New Roman"/>
          <w:sz w:val="22"/>
          <w:szCs w:val="22"/>
          <w:lang w:val="fr-FR"/>
        </w:rPr>
        <w:footnoteReference w:id="54"/>
      </w:r>
      <w:r w:rsidRPr="00F015DD">
        <w:rPr>
          <w:rFonts w:asciiTheme="majorHAnsi" w:hAnsiTheme="majorHAnsi" w:cs="Times New Roman"/>
          <w:sz w:val="22"/>
          <w:szCs w:val="22"/>
          <w:lang w:val="fr-FR"/>
        </w:rPr>
        <w:t>”</w:t>
      </w:r>
      <w:r w:rsidR="00BC3FE3">
        <w:rPr>
          <w:rFonts w:asciiTheme="majorHAnsi" w:hAnsiTheme="majorHAnsi" w:cs="Times New Roman"/>
          <w:sz w:val="22"/>
          <w:szCs w:val="22"/>
          <w:lang w:val="fr-FR"/>
        </w:rPr>
        <w:t> ;</w:t>
      </w:r>
    </w:p>
    <w:p w14:paraId="6B65B7F6" w14:textId="33F6618A" w:rsidR="00136F69" w:rsidRPr="00F015DD" w:rsidRDefault="00C46469" w:rsidP="00136F69">
      <w:pPr>
        <w:pStyle w:val="ListParagraph"/>
        <w:widowControl w:val="0"/>
        <w:numPr>
          <w:ilvl w:val="0"/>
          <w:numId w:val="7"/>
        </w:numPr>
        <w:autoSpaceDE w:val="0"/>
        <w:autoSpaceDN w:val="0"/>
        <w:adjustRightInd w:val="0"/>
        <w:rPr>
          <w:rFonts w:asciiTheme="majorHAnsi" w:hAnsiTheme="majorHAnsi" w:cs="Times"/>
          <w:sz w:val="22"/>
          <w:szCs w:val="22"/>
          <w:lang w:val="fr-FR"/>
        </w:rPr>
      </w:pPr>
      <w:r w:rsidRPr="00F015DD">
        <w:rPr>
          <w:rFonts w:asciiTheme="majorHAnsi" w:hAnsiTheme="majorHAnsi"/>
          <w:sz w:val="22"/>
          <w:szCs w:val="22"/>
          <w:lang w:val="fr-FR"/>
        </w:rPr>
        <w:t>Le principe de la proportionnalité doit être respecté non seulement dans la loi qui institue les restrictions, mais également par les autorités administratives et judiciaires chargées de l’application de la loi</w:t>
      </w:r>
      <w:r w:rsidR="00136F69" w:rsidRPr="00F015DD">
        <w:rPr>
          <w:rStyle w:val="FootnoteReference"/>
          <w:rFonts w:asciiTheme="majorHAnsi" w:hAnsiTheme="majorHAnsi" w:cs="Times New Roman"/>
          <w:sz w:val="22"/>
          <w:szCs w:val="22"/>
          <w:lang w:val="fr-FR"/>
        </w:rPr>
        <w:footnoteReference w:id="55"/>
      </w:r>
      <w:r w:rsidR="00BC3FE3">
        <w:rPr>
          <w:rFonts w:asciiTheme="majorHAnsi" w:hAnsiTheme="majorHAnsi" w:cs="Times New Roman"/>
          <w:sz w:val="22"/>
          <w:szCs w:val="22"/>
          <w:lang w:val="fr-FR"/>
        </w:rPr>
        <w:t> ;</w:t>
      </w:r>
    </w:p>
    <w:p w14:paraId="384F56C6" w14:textId="77777777" w:rsidR="00C46469" w:rsidRPr="00F015DD" w:rsidRDefault="00C46469" w:rsidP="00136F69">
      <w:pPr>
        <w:pStyle w:val="ListParagraph"/>
        <w:widowControl w:val="0"/>
        <w:numPr>
          <w:ilvl w:val="0"/>
          <w:numId w:val="7"/>
        </w:numPr>
        <w:autoSpaceDE w:val="0"/>
        <w:autoSpaceDN w:val="0"/>
        <w:adjustRightInd w:val="0"/>
        <w:spacing w:after="240"/>
        <w:rPr>
          <w:rFonts w:asciiTheme="majorHAnsi" w:hAnsiTheme="majorHAnsi" w:cs="Times"/>
          <w:sz w:val="22"/>
          <w:szCs w:val="22"/>
          <w:lang w:val="fr-FR"/>
        </w:rPr>
      </w:pPr>
      <w:r w:rsidRPr="00F015DD">
        <w:rPr>
          <w:rFonts w:asciiTheme="majorHAnsi" w:hAnsiTheme="majorHAnsi" w:cs="Times New Roman"/>
          <w:sz w:val="22"/>
          <w:szCs w:val="22"/>
          <w:lang w:val="fr-FR"/>
        </w:rPr>
        <w:t>Les</w:t>
      </w:r>
      <w:r w:rsidRPr="00F015DD">
        <w:rPr>
          <w:rFonts w:asciiTheme="majorHAnsi" w:hAnsiTheme="majorHAnsi"/>
          <w:sz w:val="22"/>
          <w:szCs w:val="22"/>
          <w:lang w:val="fr-FR"/>
        </w:rPr>
        <w:t xml:space="preserve"> États parties doivent toujours démontrer de manière spécifique la nature précise de la menace pour les raisons énumérées dans le paragraphe 3 les ayant </w:t>
      </w:r>
      <w:proofErr w:type="spellStart"/>
      <w:r w:rsidRPr="00F015DD">
        <w:rPr>
          <w:rFonts w:asciiTheme="majorHAnsi" w:hAnsiTheme="majorHAnsi"/>
          <w:sz w:val="22"/>
          <w:szCs w:val="22"/>
          <w:lang w:val="fr-FR"/>
        </w:rPr>
        <w:t>aménés</w:t>
      </w:r>
      <w:proofErr w:type="spellEnd"/>
      <w:r w:rsidRPr="00F015DD">
        <w:rPr>
          <w:rFonts w:asciiTheme="majorHAnsi" w:hAnsiTheme="majorHAnsi"/>
          <w:sz w:val="22"/>
          <w:szCs w:val="22"/>
          <w:lang w:val="fr-FR"/>
        </w:rPr>
        <w:t xml:space="preserve"> à </w:t>
      </w:r>
      <w:proofErr w:type="spellStart"/>
      <w:r w:rsidRPr="00F015DD">
        <w:rPr>
          <w:rFonts w:asciiTheme="majorHAnsi" w:hAnsiTheme="majorHAnsi"/>
          <w:sz w:val="22"/>
          <w:szCs w:val="22"/>
          <w:lang w:val="fr-FR"/>
        </w:rPr>
        <w:t>réstreindre</w:t>
      </w:r>
      <w:proofErr w:type="spellEnd"/>
      <w:r w:rsidRPr="00F015DD">
        <w:rPr>
          <w:rFonts w:asciiTheme="majorHAnsi" w:hAnsiTheme="majorHAnsi"/>
          <w:sz w:val="22"/>
          <w:szCs w:val="22"/>
          <w:lang w:val="fr-FR"/>
        </w:rPr>
        <w:t xml:space="preserve"> la liberté d'expression ainsi que la nécessité et la proportionnalité de la mesure particulière prise, en particulier en établissant un lien direct et immédiat entre l’expression et la menace.</w:t>
      </w:r>
      <w:r w:rsidR="00136F69" w:rsidRPr="00F015DD">
        <w:rPr>
          <w:rFonts w:asciiTheme="majorHAnsi" w:hAnsiTheme="majorHAnsi" w:cs="Times New Roman"/>
          <w:sz w:val="22"/>
          <w:szCs w:val="22"/>
          <w:lang w:val="fr-FR"/>
        </w:rPr>
        <w:t xml:space="preserve"> </w:t>
      </w:r>
    </w:p>
    <w:p w14:paraId="56C0ADE3" w14:textId="77777777" w:rsidR="00F93E8F" w:rsidRPr="00F015DD" w:rsidRDefault="00F93E8F">
      <w:pPr>
        <w:rPr>
          <w:lang w:val="fr-FR"/>
        </w:rPr>
      </w:pPr>
    </w:p>
    <w:p w14:paraId="38DBD401" w14:textId="77777777" w:rsidR="00272F1D" w:rsidRPr="00F015DD" w:rsidRDefault="00272F1D">
      <w:pPr>
        <w:rPr>
          <w:lang w:val="fr-FR"/>
        </w:rPr>
      </w:pPr>
    </w:p>
    <w:p w14:paraId="6460EB79" w14:textId="77777777" w:rsidR="00272F1D" w:rsidRPr="00F015DD" w:rsidRDefault="00272F1D">
      <w:pPr>
        <w:rPr>
          <w:lang w:val="fr-FR"/>
        </w:rPr>
      </w:pPr>
    </w:p>
    <w:sectPr w:rsidR="00272F1D" w:rsidRPr="00F015DD" w:rsidSect="00F43897">
      <w:headerReference w:type="default" r:id="rId16"/>
      <w:pgSz w:w="12240" w:h="15840"/>
      <w:pgMar w:top="2162"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3183E" w14:textId="77777777" w:rsidR="006E0B44" w:rsidRDefault="006E0B44" w:rsidP="00205AC7">
      <w:r>
        <w:separator/>
      </w:r>
    </w:p>
  </w:endnote>
  <w:endnote w:type="continuationSeparator" w:id="0">
    <w:p w14:paraId="3F1FA952" w14:textId="77777777" w:rsidR="006E0B44" w:rsidRDefault="006E0B44" w:rsidP="0020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87684" w14:textId="77777777" w:rsidR="006E0B44" w:rsidRDefault="006E0B44" w:rsidP="00205AC7">
      <w:r>
        <w:separator/>
      </w:r>
    </w:p>
  </w:footnote>
  <w:footnote w:type="continuationSeparator" w:id="0">
    <w:p w14:paraId="58DEDCCC" w14:textId="77777777" w:rsidR="006E0B44" w:rsidRDefault="006E0B44" w:rsidP="00205AC7">
      <w:r>
        <w:continuationSeparator/>
      </w:r>
    </w:p>
  </w:footnote>
  <w:footnote w:id="1">
    <w:p w14:paraId="0835F75F" w14:textId="10C1AE87" w:rsidR="006E0B44" w:rsidRPr="00E83314" w:rsidRDefault="006E0B44">
      <w:pPr>
        <w:pStyle w:val="FootnoteText"/>
        <w:rPr>
          <w:rFonts w:asciiTheme="majorHAnsi" w:hAnsiTheme="majorHAnsi"/>
          <w:sz w:val="18"/>
          <w:szCs w:val="18"/>
          <w:lang w:val="en-US"/>
        </w:rPr>
      </w:pPr>
      <w:r w:rsidRPr="00E83314">
        <w:rPr>
          <w:rStyle w:val="FootnoteReference"/>
          <w:rFonts w:asciiTheme="majorHAnsi" w:hAnsiTheme="majorHAnsi"/>
          <w:sz w:val="18"/>
          <w:szCs w:val="18"/>
        </w:rPr>
        <w:footnoteRef/>
      </w:r>
      <w:r w:rsidRPr="00E83314">
        <w:rPr>
          <w:rFonts w:asciiTheme="majorHAnsi" w:hAnsiTheme="majorHAnsi"/>
          <w:sz w:val="18"/>
          <w:szCs w:val="18"/>
        </w:rPr>
        <w:t xml:space="preserve"> </w:t>
      </w:r>
      <w:proofErr w:type="spellStart"/>
      <w:r w:rsidRPr="00E83314">
        <w:rPr>
          <w:rFonts w:asciiTheme="majorHAnsi" w:hAnsiTheme="majorHAnsi"/>
          <w:sz w:val="18"/>
          <w:szCs w:val="18"/>
        </w:rPr>
        <w:t>Cette</w:t>
      </w:r>
      <w:proofErr w:type="spellEnd"/>
      <w:r w:rsidRPr="00E83314">
        <w:rPr>
          <w:rFonts w:asciiTheme="majorHAnsi" w:hAnsiTheme="majorHAnsi"/>
          <w:sz w:val="18"/>
          <w:szCs w:val="18"/>
        </w:rPr>
        <w:t xml:space="preserve"> analyse </w:t>
      </w:r>
      <w:proofErr w:type="spellStart"/>
      <w:r>
        <w:rPr>
          <w:rFonts w:asciiTheme="majorHAnsi" w:hAnsiTheme="majorHAnsi"/>
          <w:sz w:val="18"/>
          <w:szCs w:val="18"/>
        </w:rPr>
        <w:t>doit</w:t>
      </w:r>
      <w:proofErr w:type="spellEnd"/>
      <w:r>
        <w:rPr>
          <w:rFonts w:asciiTheme="majorHAnsi" w:hAnsiTheme="majorHAnsi"/>
          <w:sz w:val="18"/>
          <w:szCs w:val="18"/>
        </w:rPr>
        <w:t xml:space="preserve"> beaucoup au manual de formation </w:t>
      </w:r>
      <w:proofErr w:type="spellStart"/>
      <w:r>
        <w:rPr>
          <w:rFonts w:asciiTheme="majorHAnsi" w:hAnsiTheme="majorHAnsi"/>
          <w:sz w:val="18"/>
          <w:szCs w:val="18"/>
        </w:rPr>
        <w:t>developp</w:t>
      </w:r>
      <w:proofErr w:type="spellEnd"/>
      <w:r w:rsidRPr="00674228">
        <w:rPr>
          <w:rFonts w:asciiTheme="majorHAnsi" w:hAnsiTheme="majorHAnsi" w:cs="Verdana"/>
          <w:color w:val="171717"/>
          <w:sz w:val="18"/>
          <w:szCs w:val="18"/>
          <w:lang w:val="fr-FR"/>
        </w:rPr>
        <w:t>é</w:t>
      </w:r>
      <w:r>
        <w:rPr>
          <w:rFonts w:asciiTheme="majorHAnsi" w:hAnsiTheme="majorHAnsi"/>
          <w:sz w:val="18"/>
          <w:szCs w:val="18"/>
        </w:rPr>
        <w:t xml:space="preserve"> par </w:t>
      </w:r>
      <w:r w:rsidRPr="00E83314">
        <w:rPr>
          <w:rFonts w:asciiTheme="majorHAnsi" w:hAnsiTheme="majorHAnsi"/>
          <w:sz w:val="18"/>
          <w:szCs w:val="18"/>
          <w:lang w:val="en-US"/>
        </w:rPr>
        <w:t xml:space="preserve">Media Legal Defense Initiative, </w:t>
      </w:r>
      <w:r w:rsidRPr="00E83314">
        <w:rPr>
          <w:rFonts w:asciiTheme="majorHAnsi" w:hAnsiTheme="majorHAnsi"/>
          <w:b/>
          <w:sz w:val="18"/>
          <w:szCs w:val="18"/>
          <w:lang w:val="en-US"/>
        </w:rPr>
        <w:t>Training Manual on international and comparative media law and freedom of expression</w:t>
      </w:r>
      <w:r w:rsidRPr="00E83314">
        <w:rPr>
          <w:rFonts w:asciiTheme="majorHAnsi" w:hAnsiTheme="majorHAnsi"/>
          <w:sz w:val="18"/>
          <w:szCs w:val="18"/>
          <w:lang w:val="en-US"/>
        </w:rPr>
        <w:t>, London, December 2014</w:t>
      </w:r>
    </w:p>
  </w:footnote>
  <w:footnote w:id="2">
    <w:p w14:paraId="6AFA8C71" w14:textId="77777777" w:rsidR="006E0B44" w:rsidRPr="00674228" w:rsidRDefault="006E0B44">
      <w:pPr>
        <w:pStyle w:val="FootnoteText"/>
        <w:rPr>
          <w:rFonts w:asciiTheme="majorHAnsi" w:hAnsiTheme="majorHAnsi"/>
          <w:sz w:val="18"/>
          <w:szCs w:val="18"/>
          <w:lang w:val="fr-FR"/>
        </w:rPr>
      </w:pPr>
      <w:r w:rsidRPr="007716E9">
        <w:rPr>
          <w:rStyle w:val="FootnoteReference"/>
          <w:rFonts w:asciiTheme="majorHAnsi" w:hAnsiTheme="majorHAnsi"/>
          <w:sz w:val="18"/>
          <w:szCs w:val="18"/>
        </w:rPr>
        <w:footnoteRef/>
      </w:r>
      <w:r w:rsidRPr="00674228">
        <w:rPr>
          <w:rFonts w:asciiTheme="majorHAnsi" w:hAnsiTheme="majorHAnsi"/>
          <w:sz w:val="18"/>
          <w:szCs w:val="18"/>
          <w:lang w:val="fr-FR"/>
        </w:rPr>
        <w:t xml:space="preserve"> </w:t>
      </w:r>
      <w:r w:rsidRPr="00674228">
        <w:rPr>
          <w:rFonts w:asciiTheme="majorHAnsi" w:hAnsiTheme="majorHAnsi" w:cs="Verdana"/>
          <w:color w:val="171717"/>
          <w:sz w:val="18"/>
          <w:szCs w:val="18"/>
          <w:lang w:val="fr-FR"/>
        </w:rPr>
        <w:t>Il existe plusieurs exemples à travers la sphère judiciaire illustrant le refus d'accepter l'état d'urgence inconditionnel ou d'autres législations qui ne sont justifiées que par la menace terroriste</w:t>
      </w:r>
      <w:r w:rsidRPr="00674228">
        <w:rPr>
          <w:rFonts w:asciiTheme="majorHAnsi" w:hAnsiTheme="majorHAnsi" w:cs="Arial"/>
          <w:sz w:val="18"/>
          <w:szCs w:val="18"/>
          <w:lang w:val="fr-FR"/>
        </w:rPr>
        <w:t>.</w:t>
      </w:r>
    </w:p>
  </w:footnote>
  <w:footnote w:id="3">
    <w:p w14:paraId="28EAB54D" w14:textId="62321BB2" w:rsidR="006E0B44" w:rsidRPr="00674228" w:rsidRDefault="006E0B44" w:rsidP="00F43897">
      <w:pPr>
        <w:widowControl w:val="0"/>
        <w:autoSpaceDE w:val="0"/>
        <w:autoSpaceDN w:val="0"/>
        <w:adjustRightInd w:val="0"/>
        <w:rPr>
          <w:rFonts w:asciiTheme="majorHAnsi" w:hAnsiTheme="majorHAnsi" w:cs="Arial"/>
          <w:bCs/>
          <w:iCs/>
          <w:sz w:val="18"/>
          <w:szCs w:val="18"/>
          <w:lang w:val="fr-FR"/>
        </w:rPr>
      </w:pPr>
      <w:r>
        <w:rPr>
          <w:rStyle w:val="FootnoteReference"/>
        </w:rPr>
        <w:footnoteRef/>
      </w:r>
      <w:r w:rsidRPr="00674228">
        <w:rPr>
          <w:lang w:val="fr-FR"/>
        </w:rPr>
        <w:t xml:space="preserve"> </w:t>
      </w:r>
      <w:r w:rsidRPr="00674228">
        <w:rPr>
          <w:rFonts w:asciiTheme="majorHAnsi" w:hAnsiTheme="majorHAnsi" w:cs="Arial"/>
          <w:bCs/>
          <w:sz w:val="18"/>
          <w:szCs w:val="18"/>
          <w:lang w:val="fr-FR"/>
        </w:rPr>
        <w:t xml:space="preserve">S.E John Von </w:t>
      </w:r>
      <w:proofErr w:type="spellStart"/>
      <w:r w:rsidRPr="00674228">
        <w:rPr>
          <w:rFonts w:asciiTheme="majorHAnsi" w:hAnsiTheme="majorHAnsi" w:cs="Arial"/>
          <w:bCs/>
          <w:sz w:val="18"/>
          <w:szCs w:val="18"/>
          <w:lang w:val="fr-FR"/>
        </w:rPr>
        <w:t>Doussa</w:t>
      </w:r>
      <w:proofErr w:type="spellEnd"/>
      <w:r w:rsidRPr="00674228">
        <w:rPr>
          <w:rFonts w:asciiTheme="majorHAnsi" w:hAnsiTheme="majorHAnsi" w:cs="Arial"/>
          <w:bCs/>
          <w:sz w:val="18"/>
          <w:szCs w:val="18"/>
          <w:lang w:val="fr-FR"/>
        </w:rPr>
        <w:t xml:space="preserve"> QC, Président de la Commission des droits de l'homme et de l'égalité des chances, Conférence Internationale sur le Terrorisme, la Sécurité humaine et le Développement</w:t>
      </w:r>
      <w:r>
        <w:rPr>
          <w:rFonts w:asciiTheme="majorHAnsi" w:hAnsiTheme="majorHAnsi" w:cs="Arial"/>
          <w:bCs/>
          <w:sz w:val="18"/>
          <w:szCs w:val="18"/>
          <w:lang w:val="fr-FR"/>
        </w:rPr>
        <w:t>: Perspectives des droits de l'H</w:t>
      </w:r>
      <w:r w:rsidRPr="00674228">
        <w:rPr>
          <w:rFonts w:asciiTheme="majorHAnsi" w:hAnsiTheme="majorHAnsi" w:cs="Arial"/>
          <w:bCs/>
          <w:sz w:val="18"/>
          <w:szCs w:val="18"/>
          <w:lang w:val="fr-FR"/>
        </w:rPr>
        <w:t xml:space="preserve">omme </w:t>
      </w:r>
    </w:p>
    <w:p w14:paraId="4F3A1454" w14:textId="77777777" w:rsidR="006E0B44" w:rsidRPr="00F43897" w:rsidRDefault="006E0B44">
      <w:pPr>
        <w:pStyle w:val="FootnoteText"/>
        <w:rPr>
          <w:rFonts w:asciiTheme="majorHAnsi" w:hAnsiTheme="majorHAnsi"/>
          <w:sz w:val="18"/>
          <w:szCs w:val="18"/>
          <w:lang w:val="en-US"/>
        </w:rPr>
      </w:pPr>
      <w:r>
        <w:rPr>
          <w:rFonts w:asciiTheme="majorHAnsi" w:hAnsiTheme="majorHAnsi" w:cs="Arial"/>
          <w:bCs/>
          <w:iCs/>
          <w:sz w:val="18"/>
          <w:szCs w:val="18"/>
        </w:rPr>
        <w:t>City University de Hong Kong</w:t>
      </w:r>
      <w:r w:rsidRPr="00CA2083">
        <w:rPr>
          <w:rFonts w:asciiTheme="majorHAnsi" w:hAnsiTheme="majorHAnsi" w:cs="Arial"/>
          <w:bCs/>
          <w:iCs/>
          <w:sz w:val="18"/>
          <w:szCs w:val="18"/>
        </w:rPr>
        <w:t xml:space="preserve">, 16-17 </w:t>
      </w:r>
      <w:proofErr w:type="spellStart"/>
      <w:r w:rsidRPr="00CA2083">
        <w:rPr>
          <w:rFonts w:asciiTheme="majorHAnsi" w:hAnsiTheme="majorHAnsi" w:cs="Arial"/>
          <w:bCs/>
          <w:iCs/>
          <w:sz w:val="18"/>
          <w:szCs w:val="18"/>
        </w:rPr>
        <w:t>Octob</w:t>
      </w:r>
      <w:r>
        <w:rPr>
          <w:rFonts w:asciiTheme="majorHAnsi" w:hAnsiTheme="majorHAnsi" w:cs="Arial"/>
          <w:bCs/>
          <w:iCs/>
          <w:sz w:val="18"/>
          <w:szCs w:val="18"/>
        </w:rPr>
        <w:t>re</w:t>
      </w:r>
      <w:proofErr w:type="spellEnd"/>
      <w:r w:rsidRPr="00CA2083">
        <w:rPr>
          <w:rFonts w:asciiTheme="majorHAnsi" w:hAnsiTheme="majorHAnsi" w:cs="Arial"/>
          <w:bCs/>
          <w:iCs/>
          <w:sz w:val="18"/>
          <w:szCs w:val="18"/>
        </w:rPr>
        <w:t xml:space="preserve"> 2007</w:t>
      </w:r>
      <w:r>
        <w:rPr>
          <w:rFonts w:asciiTheme="majorHAnsi" w:hAnsiTheme="majorHAnsi" w:cs="Arial"/>
          <w:bCs/>
          <w:iCs/>
          <w:sz w:val="18"/>
          <w:szCs w:val="18"/>
        </w:rPr>
        <w:t>,</w:t>
      </w:r>
    </w:p>
  </w:footnote>
  <w:footnote w:id="4">
    <w:p w14:paraId="022AADB1" w14:textId="172F534A" w:rsidR="006E0B44" w:rsidRPr="00674228" w:rsidRDefault="006E0B44" w:rsidP="0076516B">
      <w:pPr>
        <w:widowControl w:val="0"/>
        <w:autoSpaceDE w:val="0"/>
        <w:autoSpaceDN w:val="0"/>
        <w:adjustRightInd w:val="0"/>
        <w:rPr>
          <w:rFonts w:asciiTheme="majorHAnsi" w:hAnsiTheme="majorHAnsi" w:cs="Arial"/>
          <w:bCs/>
          <w:iCs/>
          <w:sz w:val="18"/>
          <w:szCs w:val="18"/>
          <w:lang w:val="fr-FR"/>
        </w:rPr>
      </w:pPr>
      <w:r w:rsidRPr="00F43897">
        <w:rPr>
          <w:rStyle w:val="FootnoteReference"/>
          <w:rFonts w:asciiTheme="majorHAnsi" w:hAnsiTheme="majorHAnsi"/>
          <w:sz w:val="18"/>
          <w:szCs w:val="18"/>
        </w:rPr>
        <w:footnoteRef/>
      </w:r>
      <w:r w:rsidRPr="00674228">
        <w:rPr>
          <w:rFonts w:asciiTheme="majorHAnsi" w:hAnsiTheme="majorHAnsi"/>
          <w:sz w:val="18"/>
          <w:szCs w:val="18"/>
          <w:lang w:val="fr-FR"/>
        </w:rPr>
        <w:t xml:space="preserve"> </w:t>
      </w:r>
      <w:r w:rsidRPr="00674228">
        <w:rPr>
          <w:rFonts w:asciiTheme="majorHAnsi" w:hAnsiTheme="majorHAnsi" w:cs="Arial"/>
          <w:sz w:val="18"/>
          <w:szCs w:val="18"/>
          <w:lang w:val="fr-FR"/>
        </w:rPr>
        <w:t xml:space="preserve">S.E Lord </w:t>
      </w:r>
      <w:proofErr w:type="spellStart"/>
      <w:r w:rsidRPr="00674228">
        <w:rPr>
          <w:rFonts w:asciiTheme="majorHAnsi" w:hAnsiTheme="majorHAnsi" w:cs="Arial"/>
          <w:sz w:val="18"/>
          <w:szCs w:val="18"/>
          <w:lang w:val="fr-FR"/>
        </w:rPr>
        <w:t>Falconer</w:t>
      </w:r>
      <w:proofErr w:type="spellEnd"/>
      <w:r w:rsidRPr="00674228">
        <w:rPr>
          <w:rFonts w:asciiTheme="majorHAnsi" w:hAnsiTheme="majorHAnsi" w:cs="Arial"/>
          <w:sz w:val="18"/>
          <w:szCs w:val="18"/>
          <w:lang w:val="fr-FR"/>
        </w:rPr>
        <w:t xml:space="preserve"> of </w:t>
      </w:r>
      <w:proofErr w:type="spellStart"/>
      <w:r w:rsidRPr="00674228">
        <w:rPr>
          <w:rFonts w:asciiTheme="majorHAnsi" w:hAnsiTheme="majorHAnsi" w:cs="Arial"/>
          <w:sz w:val="18"/>
          <w:szCs w:val="18"/>
          <w:lang w:val="fr-FR"/>
        </w:rPr>
        <w:t>Thoroton</w:t>
      </w:r>
      <w:proofErr w:type="spellEnd"/>
      <w:r w:rsidRPr="00674228">
        <w:rPr>
          <w:rFonts w:asciiTheme="majorHAnsi" w:hAnsiTheme="majorHAnsi" w:cs="Arial"/>
          <w:sz w:val="18"/>
          <w:szCs w:val="18"/>
          <w:lang w:val="fr-FR"/>
        </w:rPr>
        <w:t xml:space="preserve"> - Ministre de la justice et Secrétaire d'Etat aux affaires constitutionnelles, ‘Le rôle des juges dans une démocratie moderne’, Conférence Magna </w:t>
      </w:r>
      <w:proofErr w:type="spellStart"/>
      <w:r w:rsidRPr="00674228">
        <w:rPr>
          <w:rFonts w:asciiTheme="majorHAnsi" w:hAnsiTheme="majorHAnsi" w:cs="Arial"/>
          <w:sz w:val="18"/>
          <w:szCs w:val="18"/>
          <w:lang w:val="fr-FR"/>
        </w:rPr>
        <w:t>Cart</w:t>
      </w:r>
      <w:proofErr w:type="spellEnd"/>
      <w:r w:rsidRPr="00674228">
        <w:rPr>
          <w:rFonts w:asciiTheme="majorHAnsi" w:hAnsiTheme="majorHAnsi" w:cs="Arial"/>
          <w:sz w:val="18"/>
          <w:szCs w:val="18"/>
          <w:lang w:val="fr-FR"/>
        </w:rPr>
        <w:t xml:space="preserve">, Sydney, 13 Septembre 2006, cité par S.E </w:t>
      </w:r>
      <w:r w:rsidRPr="00674228">
        <w:rPr>
          <w:rFonts w:asciiTheme="majorHAnsi" w:hAnsiTheme="majorHAnsi" w:cs="Arial"/>
          <w:bCs/>
          <w:sz w:val="18"/>
          <w:szCs w:val="18"/>
          <w:lang w:val="fr-FR"/>
        </w:rPr>
        <w:t xml:space="preserve">John Von </w:t>
      </w:r>
      <w:proofErr w:type="spellStart"/>
      <w:r w:rsidRPr="00674228">
        <w:rPr>
          <w:rFonts w:asciiTheme="majorHAnsi" w:hAnsiTheme="majorHAnsi" w:cs="Arial"/>
          <w:bCs/>
          <w:sz w:val="18"/>
          <w:szCs w:val="18"/>
          <w:lang w:val="fr-FR"/>
        </w:rPr>
        <w:t>Doussa</w:t>
      </w:r>
      <w:proofErr w:type="spellEnd"/>
      <w:r w:rsidRPr="00674228">
        <w:rPr>
          <w:rFonts w:asciiTheme="majorHAnsi" w:hAnsiTheme="majorHAnsi" w:cs="Arial"/>
          <w:bCs/>
          <w:sz w:val="18"/>
          <w:szCs w:val="18"/>
          <w:lang w:val="fr-FR"/>
        </w:rPr>
        <w:t xml:space="preserve"> QC, Président de la Commission des droits de l'homme et de l'égalité des chances, Conférence Internationale sur le Terrorisme, la Sécurité humaine et le Développement</w:t>
      </w:r>
      <w:r>
        <w:rPr>
          <w:rFonts w:asciiTheme="majorHAnsi" w:hAnsiTheme="majorHAnsi" w:cs="Arial"/>
          <w:bCs/>
          <w:sz w:val="18"/>
          <w:szCs w:val="18"/>
          <w:lang w:val="fr-FR"/>
        </w:rPr>
        <w:t>: Perspectives des droits de l'H</w:t>
      </w:r>
      <w:r w:rsidRPr="00674228">
        <w:rPr>
          <w:rFonts w:asciiTheme="majorHAnsi" w:hAnsiTheme="majorHAnsi" w:cs="Arial"/>
          <w:bCs/>
          <w:sz w:val="18"/>
          <w:szCs w:val="18"/>
          <w:lang w:val="fr-FR"/>
        </w:rPr>
        <w:t xml:space="preserve">omme </w:t>
      </w:r>
    </w:p>
    <w:p w14:paraId="3A56043E" w14:textId="77777777" w:rsidR="006E0B44" w:rsidRPr="00F43897" w:rsidRDefault="006E0B44" w:rsidP="0076516B">
      <w:pPr>
        <w:widowControl w:val="0"/>
        <w:autoSpaceDE w:val="0"/>
        <w:autoSpaceDN w:val="0"/>
        <w:adjustRightInd w:val="0"/>
        <w:rPr>
          <w:rFonts w:asciiTheme="majorHAnsi" w:hAnsiTheme="majorHAnsi"/>
          <w:sz w:val="18"/>
          <w:szCs w:val="18"/>
        </w:rPr>
      </w:pPr>
      <w:r>
        <w:rPr>
          <w:rFonts w:asciiTheme="majorHAnsi" w:hAnsiTheme="majorHAnsi" w:cs="Arial"/>
          <w:bCs/>
          <w:iCs/>
          <w:sz w:val="18"/>
          <w:szCs w:val="18"/>
        </w:rPr>
        <w:t>City University de Hong Kong</w:t>
      </w:r>
      <w:r w:rsidRPr="00CA2083">
        <w:rPr>
          <w:rFonts w:asciiTheme="majorHAnsi" w:hAnsiTheme="majorHAnsi" w:cs="Arial"/>
          <w:bCs/>
          <w:iCs/>
          <w:sz w:val="18"/>
          <w:szCs w:val="18"/>
        </w:rPr>
        <w:t xml:space="preserve">, 16-17 </w:t>
      </w:r>
      <w:proofErr w:type="spellStart"/>
      <w:r w:rsidRPr="00CA2083">
        <w:rPr>
          <w:rFonts w:asciiTheme="majorHAnsi" w:hAnsiTheme="majorHAnsi" w:cs="Arial"/>
          <w:bCs/>
          <w:iCs/>
          <w:sz w:val="18"/>
          <w:szCs w:val="18"/>
        </w:rPr>
        <w:t>Octob</w:t>
      </w:r>
      <w:r>
        <w:rPr>
          <w:rFonts w:asciiTheme="majorHAnsi" w:hAnsiTheme="majorHAnsi" w:cs="Arial"/>
          <w:bCs/>
          <w:iCs/>
          <w:sz w:val="18"/>
          <w:szCs w:val="18"/>
        </w:rPr>
        <w:t>re</w:t>
      </w:r>
      <w:proofErr w:type="spellEnd"/>
      <w:r w:rsidRPr="00CA2083">
        <w:rPr>
          <w:rFonts w:asciiTheme="majorHAnsi" w:hAnsiTheme="majorHAnsi" w:cs="Arial"/>
          <w:bCs/>
          <w:iCs/>
          <w:sz w:val="18"/>
          <w:szCs w:val="18"/>
        </w:rPr>
        <w:t xml:space="preserve"> 2007</w:t>
      </w:r>
      <w:r>
        <w:rPr>
          <w:rFonts w:asciiTheme="majorHAnsi" w:hAnsiTheme="majorHAnsi" w:cs="Arial"/>
          <w:bCs/>
          <w:iCs/>
          <w:sz w:val="18"/>
          <w:szCs w:val="18"/>
        </w:rPr>
        <w:t>,</w:t>
      </w:r>
    </w:p>
  </w:footnote>
  <w:footnote w:id="5">
    <w:p w14:paraId="10ED870F" w14:textId="77777777" w:rsidR="006E0B44" w:rsidRPr="00674228" w:rsidRDefault="006E0B44" w:rsidP="00613EF4">
      <w:pPr>
        <w:widowControl w:val="0"/>
        <w:autoSpaceDE w:val="0"/>
        <w:autoSpaceDN w:val="0"/>
        <w:adjustRightInd w:val="0"/>
        <w:rPr>
          <w:rFonts w:asciiTheme="majorHAnsi" w:hAnsiTheme="majorHAnsi" w:cs="Arial"/>
          <w:bCs/>
          <w:iCs/>
          <w:sz w:val="18"/>
          <w:szCs w:val="18"/>
          <w:lang w:val="fr-FR"/>
        </w:rPr>
      </w:pPr>
      <w:r>
        <w:rPr>
          <w:rStyle w:val="FootnoteReference"/>
        </w:rPr>
        <w:footnoteRef/>
      </w:r>
      <w:r w:rsidRPr="00674228">
        <w:rPr>
          <w:lang w:val="fr-FR"/>
        </w:rPr>
        <w:t xml:space="preserve"> </w:t>
      </w:r>
      <w:r w:rsidRPr="00674228">
        <w:rPr>
          <w:rFonts w:asciiTheme="majorHAnsi" w:hAnsiTheme="majorHAnsi" w:cs="Arial"/>
          <w:bCs/>
          <w:sz w:val="18"/>
          <w:szCs w:val="18"/>
          <w:lang w:val="fr-FR"/>
        </w:rPr>
        <w:t xml:space="preserve">S.E John Von </w:t>
      </w:r>
      <w:proofErr w:type="spellStart"/>
      <w:r w:rsidRPr="00674228">
        <w:rPr>
          <w:rFonts w:asciiTheme="majorHAnsi" w:hAnsiTheme="majorHAnsi" w:cs="Arial"/>
          <w:bCs/>
          <w:sz w:val="18"/>
          <w:szCs w:val="18"/>
          <w:lang w:val="fr-FR"/>
        </w:rPr>
        <w:t>Doussa</w:t>
      </w:r>
      <w:proofErr w:type="spellEnd"/>
      <w:r w:rsidRPr="00674228">
        <w:rPr>
          <w:rFonts w:asciiTheme="majorHAnsi" w:hAnsiTheme="majorHAnsi" w:cs="Arial"/>
          <w:bCs/>
          <w:sz w:val="18"/>
          <w:szCs w:val="18"/>
          <w:lang w:val="fr-FR"/>
        </w:rPr>
        <w:t xml:space="preserve"> QC, Président de la Commission des droits de l'homme et de l'égalité des chances, Conférence Internationale sur le Terrorisme, la Sécurité humaine et le Développement: Perspectives des droits de l'homme </w:t>
      </w:r>
    </w:p>
    <w:p w14:paraId="0A29C273" w14:textId="539ABFAA" w:rsidR="006E0B44" w:rsidRPr="003D1897" w:rsidRDefault="006E0B44" w:rsidP="003D1897">
      <w:pPr>
        <w:widowControl w:val="0"/>
        <w:autoSpaceDE w:val="0"/>
        <w:autoSpaceDN w:val="0"/>
        <w:adjustRightInd w:val="0"/>
        <w:rPr>
          <w:rFonts w:asciiTheme="majorHAnsi" w:hAnsiTheme="majorHAnsi"/>
          <w:sz w:val="18"/>
          <w:szCs w:val="18"/>
        </w:rPr>
      </w:pPr>
      <w:r w:rsidRPr="003D1897">
        <w:rPr>
          <w:rFonts w:asciiTheme="majorHAnsi" w:hAnsiTheme="majorHAnsi" w:cs="Arial"/>
          <w:bCs/>
          <w:iCs/>
          <w:sz w:val="18"/>
          <w:szCs w:val="18"/>
        </w:rPr>
        <w:t xml:space="preserve">City University de Hong Kong, 16-17 </w:t>
      </w:r>
      <w:proofErr w:type="spellStart"/>
      <w:r w:rsidRPr="003D1897">
        <w:rPr>
          <w:rFonts w:asciiTheme="majorHAnsi" w:hAnsiTheme="majorHAnsi" w:cs="Arial"/>
          <w:bCs/>
          <w:iCs/>
          <w:sz w:val="18"/>
          <w:szCs w:val="18"/>
        </w:rPr>
        <w:t>Octobre</w:t>
      </w:r>
      <w:proofErr w:type="spellEnd"/>
      <w:r w:rsidRPr="003D1897">
        <w:rPr>
          <w:rFonts w:asciiTheme="majorHAnsi" w:hAnsiTheme="majorHAnsi" w:cs="Arial"/>
          <w:bCs/>
          <w:iCs/>
          <w:sz w:val="18"/>
          <w:szCs w:val="18"/>
        </w:rPr>
        <w:t xml:space="preserve"> 2007,</w:t>
      </w:r>
    </w:p>
  </w:footnote>
  <w:footnote w:id="6">
    <w:p w14:paraId="3D189F01" w14:textId="33941948" w:rsidR="006E0B44" w:rsidRPr="003D1897" w:rsidRDefault="006E0B44" w:rsidP="003D1897">
      <w:pPr>
        <w:pStyle w:val="FootnoteText"/>
        <w:rPr>
          <w:rFonts w:asciiTheme="majorHAnsi" w:hAnsiTheme="majorHAnsi"/>
          <w:sz w:val="18"/>
          <w:szCs w:val="18"/>
          <w:lang w:val="en-US"/>
        </w:rPr>
      </w:pPr>
      <w:r w:rsidRPr="003D1897">
        <w:rPr>
          <w:rStyle w:val="FootnoteReference"/>
          <w:rFonts w:asciiTheme="majorHAnsi" w:hAnsiTheme="majorHAnsi"/>
          <w:sz w:val="18"/>
          <w:szCs w:val="18"/>
        </w:rPr>
        <w:footnoteRef/>
      </w:r>
      <w:r w:rsidRPr="003D1897">
        <w:rPr>
          <w:rFonts w:asciiTheme="majorHAnsi" w:hAnsiTheme="majorHAnsi"/>
          <w:sz w:val="18"/>
          <w:szCs w:val="18"/>
        </w:rPr>
        <w:t xml:space="preserve"> Se referrer </w:t>
      </w:r>
      <w:proofErr w:type="spellStart"/>
      <w:r w:rsidRPr="003D1897">
        <w:rPr>
          <w:rFonts w:asciiTheme="majorHAnsi" w:hAnsiTheme="majorHAnsi"/>
          <w:sz w:val="18"/>
          <w:szCs w:val="18"/>
        </w:rPr>
        <w:t>aussi</w:t>
      </w:r>
      <w:proofErr w:type="spellEnd"/>
      <w:r w:rsidRPr="003D1897">
        <w:rPr>
          <w:rFonts w:asciiTheme="majorHAnsi" w:hAnsiTheme="majorHAnsi"/>
          <w:sz w:val="18"/>
          <w:szCs w:val="18"/>
        </w:rPr>
        <w:t xml:space="preserve"> a </w:t>
      </w:r>
      <w:r w:rsidRPr="003D1897">
        <w:rPr>
          <w:rFonts w:asciiTheme="majorHAnsi" w:hAnsiTheme="majorHAnsi"/>
          <w:sz w:val="18"/>
          <w:szCs w:val="18"/>
          <w:lang w:val="en-US"/>
        </w:rPr>
        <w:t>MLDI, Op. Cit., December 2014</w:t>
      </w:r>
    </w:p>
    <w:p w14:paraId="745B2E77" w14:textId="0790123F" w:rsidR="006E0B44" w:rsidRPr="003D1897" w:rsidRDefault="006E0B44">
      <w:pPr>
        <w:pStyle w:val="FootnoteText"/>
        <w:rPr>
          <w:lang w:val="en-US"/>
        </w:rPr>
      </w:pPr>
    </w:p>
  </w:footnote>
  <w:footnote w:id="7">
    <w:p w14:paraId="7F157B02" w14:textId="77777777" w:rsidR="006E0B44" w:rsidRPr="00674228" w:rsidRDefault="006E0B44" w:rsidP="002A23B8">
      <w:pPr>
        <w:widowControl w:val="0"/>
        <w:autoSpaceDE w:val="0"/>
        <w:autoSpaceDN w:val="0"/>
        <w:adjustRightInd w:val="0"/>
        <w:rPr>
          <w:rFonts w:asciiTheme="majorHAnsi" w:hAnsiTheme="majorHAnsi" w:cs="Arial"/>
          <w:bCs/>
          <w:iCs/>
          <w:sz w:val="18"/>
          <w:szCs w:val="18"/>
          <w:lang w:val="fr-FR"/>
        </w:rPr>
      </w:pPr>
      <w:r w:rsidRPr="00CA2083">
        <w:rPr>
          <w:rStyle w:val="FootnoteReference"/>
          <w:rFonts w:asciiTheme="majorHAnsi" w:hAnsiTheme="majorHAnsi"/>
          <w:sz w:val="18"/>
          <w:szCs w:val="18"/>
        </w:rPr>
        <w:footnoteRef/>
      </w:r>
      <w:r w:rsidRPr="00674228">
        <w:rPr>
          <w:rFonts w:asciiTheme="majorHAnsi" w:hAnsiTheme="majorHAnsi"/>
          <w:sz w:val="18"/>
          <w:szCs w:val="18"/>
          <w:lang w:val="fr-FR"/>
        </w:rPr>
        <w:t xml:space="preserve"> </w:t>
      </w:r>
      <w:r w:rsidRPr="00674228">
        <w:rPr>
          <w:rFonts w:asciiTheme="majorHAnsi" w:hAnsiTheme="majorHAnsi" w:cs="Arial"/>
          <w:bCs/>
          <w:sz w:val="18"/>
          <w:szCs w:val="18"/>
          <w:lang w:val="fr-FR"/>
        </w:rPr>
        <w:t xml:space="preserve">S.E John Von </w:t>
      </w:r>
      <w:proofErr w:type="spellStart"/>
      <w:r w:rsidRPr="00674228">
        <w:rPr>
          <w:rFonts w:asciiTheme="majorHAnsi" w:hAnsiTheme="majorHAnsi" w:cs="Arial"/>
          <w:bCs/>
          <w:sz w:val="18"/>
          <w:szCs w:val="18"/>
          <w:lang w:val="fr-FR"/>
        </w:rPr>
        <w:t>Doussa</w:t>
      </w:r>
      <w:proofErr w:type="spellEnd"/>
      <w:r w:rsidRPr="00674228">
        <w:rPr>
          <w:rFonts w:asciiTheme="majorHAnsi" w:hAnsiTheme="majorHAnsi" w:cs="Arial"/>
          <w:bCs/>
          <w:sz w:val="18"/>
          <w:szCs w:val="18"/>
          <w:lang w:val="fr-FR"/>
        </w:rPr>
        <w:t xml:space="preserve"> QC, Président de la Commission des droits de l'homme et de l'égalité des chances, Conférence Internationale sur le Terrorisme, la Sécurité humaine et le Développement: Perspectives des droits de l'homme </w:t>
      </w:r>
    </w:p>
    <w:p w14:paraId="761CF5A2" w14:textId="77777777" w:rsidR="006E0B44" w:rsidRPr="00674228" w:rsidRDefault="006E0B44" w:rsidP="002A23B8">
      <w:pPr>
        <w:widowControl w:val="0"/>
        <w:autoSpaceDE w:val="0"/>
        <w:autoSpaceDN w:val="0"/>
        <w:adjustRightInd w:val="0"/>
        <w:rPr>
          <w:rFonts w:asciiTheme="majorHAnsi" w:hAnsiTheme="majorHAnsi" w:cs="Arial"/>
          <w:bCs/>
          <w:iCs/>
          <w:sz w:val="18"/>
          <w:szCs w:val="18"/>
          <w:lang w:val="fr-FR"/>
        </w:rPr>
      </w:pPr>
      <w:r w:rsidRPr="00674228">
        <w:rPr>
          <w:rFonts w:asciiTheme="majorHAnsi" w:hAnsiTheme="majorHAnsi" w:cs="Arial"/>
          <w:bCs/>
          <w:iCs/>
          <w:sz w:val="18"/>
          <w:szCs w:val="18"/>
          <w:lang w:val="fr-FR"/>
        </w:rPr>
        <w:t xml:space="preserve">City </w:t>
      </w:r>
      <w:proofErr w:type="spellStart"/>
      <w:r w:rsidRPr="00674228">
        <w:rPr>
          <w:rFonts w:asciiTheme="majorHAnsi" w:hAnsiTheme="majorHAnsi" w:cs="Arial"/>
          <w:bCs/>
          <w:iCs/>
          <w:sz w:val="18"/>
          <w:szCs w:val="18"/>
          <w:lang w:val="fr-FR"/>
        </w:rPr>
        <w:t>University</w:t>
      </w:r>
      <w:proofErr w:type="spellEnd"/>
      <w:r w:rsidRPr="00674228">
        <w:rPr>
          <w:rFonts w:asciiTheme="majorHAnsi" w:hAnsiTheme="majorHAnsi" w:cs="Arial"/>
          <w:bCs/>
          <w:iCs/>
          <w:sz w:val="18"/>
          <w:szCs w:val="18"/>
          <w:lang w:val="fr-FR"/>
        </w:rPr>
        <w:t xml:space="preserve"> de Hong Kong, 16-17 Octobre 2007, </w:t>
      </w:r>
    </w:p>
    <w:p w14:paraId="50083612" w14:textId="77777777" w:rsidR="006E0B44" w:rsidRPr="00674228" w:rsidRDefault="006E0B44" w:rsidP="002A23B8">
      <w:pPr>
        <w:widowControl w:val="0"/>
        <w:autoSpaceDE w:val="0"/>
        <w:autoSpaceDN w:val="0"/>
        <w:adjustRightInd w:val="0"/>
        <w:rPr>
          <w:rFonts w:asciiTheme="majorHAnsi" w:hAnsiTheme="majorHAnsi" w:cs="Arial"/>
          <w:bCs/>
          <w:iCs/>
          <w:sz w:val="18"/>
          <w:szCs w:val="18"/>
          <w:lang w:val="fr-FR"/>
        </w:rPr>
      </w:pPr>
      <w:r w:rsidRPr="00674228">
        <w:rPr>
          <w:rFonts w:asciiTheme="majorHAnsi" w:hAnsiTheme="majorHAnsi" w:cs="Arial"/>
          <w:bCs/>
          <w:iCs/>
          <w:sz w:val="18"/>
          <w:szCs w:val="18"/>
          <w:lang w:val="fr-FR"/>
        </w:rPr>
        <w:t>https://www.humanrights.gov.au/news/speeches/incorporating-human-rights-principles-national-security-measures#endnote6</w:t>
      </w:r>
    </w:p>
  </w:footnote>
  <w:footnote w:id="8">
    <w:p w14:paraId="660F31DE" w14:textId="77777777" w:rsidR="006E0B44" w:rsidRPr="00674228" w:rsidRDefault="006E0B44" w:rsidP="00E302C3">
      <w:pPr>
        <w:pStyle w:val="FootnoteText"/>
        <w:rPr>
          <w:rFonts w:asciiTheme="majorHAnsi" w:hAnsiTheme="majorHAnsi"/>
          <w:sz w:val="18"/>
          <w:szCs w:val="18"/>
          <w:lang w:val="fr-FR"/>
        </w:rPr>
      </w:pPr>
      <w:r w:rsidRPr="00CA2083">
        <w:rPr>
          <w:rStyle w:val="FootnoteReference"/>
          <w:rFonts w:asciiTheme="majorHAnsi" w:hAnsiTheme="majorHAnsi"/>
          <w:sz w:val="18"/>
          <w:szCs w:val="18"/>
        </w:rPr>
        <w:footnoteRef/>
      </w:r>
      <w:r w:rsidRPr="00674228">
        <w:rPr>
          <w:rFonts w:asciiTheme="majorHAnsi" w:hAnsiTheme="majorHAnsi"/>
          <w:sz w:val="18"/>
          <w:szCs w:val="18"/>
          <w:lang w:val="fr-FR"/>
        </w:rPr>
        <w:t xml:space="preserve"> </w:t>
      </w:r>
      <w:r w:rsidRPr="00674228">
        <w:rPr>
          <w:rFonts w:asciiTheme="majorHAnsi" w:hAnsiTheme="majorHAnsi" w:cs="Arial"/>
          <w:sz w:val="18"/>
          <w:szCs w:val="18"/>
          <w:lang w:val="fr-FR"/>
        </w:rPr>
        <w:t xml:space="preserve">Comité des droits de l'homme, Observation Générale n° 29: </w:t>
      </w:r>
      <w:r w:rsidRPr="00674228">
        <w:rPr>
          <w:rFonts w:asciiTheme="majorHAnsi" w:hAnsiTheme="majorHAnsi" w:cs="Arial"/>
          <w:i/>
          <w:iCs/>
          <w:sz w:val="18"/>
          <w:szCs w:val="18"/>
          <w:lang w:val="fr-FR"/>
        </w:rPr>
        <w:t>Etats d'urgence (Article 4)</w:t>
      </w:r>
      <w:r w:rsidRPr="00674228">
        <w:rPr>
          <w:rFonts w:asciiTheme="majorHAnsi" w:hAnsiTheme="majorHAnsi" w:cs="Arial"/>
          <w:sz w:val="18"/>
          <w:szCs w:val="18"/>
          <w:lang w:val="fr-FR"/>
        </w:rPr>
        <w:t>, 31 août 2001, 16.</w:t>
      </w:r>
    </w:p>
  </w:footnote>
  <w:footnote w:id="9">
    <w:p w14:paraId="6FF90FFA" w14:textId="77777777" w:rsidR="006E0B44" w:rsidRPr="00CA2083" w:rsidRDefault="006E0B44">
      <w:pPr>
        <w:pStyle w:val="FootnoteText"/>
        <w:rPr>
          <w:rFonts w:asciiTheme="majorHAnsi" w:hAnsiTheme="majorHAnsi"/>
          <w:sz w:val="18"/>
          <w:szCs w:val="18"/>
          <w:lang w:val="en-US"/>
        </w:rPr>
      </w:pPr>
      <w:r w:rsidRPr="00CA2083">
        <w:rPr>
          <w:rStyle w:val="FootnoteReference"/>
          <w:rFonts w:asciiTheme="majorHAnsi" w:hAnsiTheme="majorHAnsi"/>
          <w:sz w:val="18"/>
          <w:szCs w:val="18"/>
        </w:rPr>
        <w:footnoteRef/>
      </w:r>
      <w:r w:rsidRPr="00CA2083">
        <w:rPr>
          <w:rFonts w:asciiTheme="majorHAnsi" w:hAnsiTheme="majorHAnsi"/>
          <w:sz w:val="18"/>
          <w:szCs w:val="18"/>
        </w:rPr>
        <w:t xml:space="preserve"> </w:t>
      </w:r>
      <w:proofErr w:type="spellStart"/>
      <w:proofErr w:type="gramStart"/>
      <w:r w:rsidRPr="00CA2083">
        <w:rPr>
          <w:rFonts w:asciiTheme="majorHAnsi" w:hAnsiTheme="majorHAnsi" w:cs="Arial"/>
          <w:i/>
          <w:iCs/>
          <w:sz w:val="18"/>
          <w:szCs w:val="18"/>
        </w:rPr>
        <w:t>Hamdan</w:t>
      </w:r>
      <w:proofErr w:type="spellEnd"/>
      <w:r w:rsidRPr="00CA2083">
        <w:rPr>
          <w:rFonts w:asciiTheme="majorHAnsi" w:hAnsiTheme="majorHAnsi" w:cs="Arial"/>
          <w:i/>
          <w:iCs/>
          <w:sz w:val="18"/>
          <w:szCs w:val="18"/>
        </w:rPr>
        <w:t xml:space="preserve"> </w:t>
      </w:r>
      <w:r>
        <w:rPr>
          <w:rFonts w:asciiTheme="majorHAnsi" w:hAnsiTheme="majorHAnsi" w:cs="Arial"/>
          <w:i/>
          <w:iCs/>
          <w:sz w:val="18"/>
          <w:szCs w:val="18"/>
        </w:rPr>
        <w:t>c.</w:t>
      </w:r>
      <w:r w:rsidRPr="00CA2083">
        <w:rPr>
          <w:rFonts w:asciiTheme="majorHAnsi" w:hAnsiTheme="majorHAnsi" w:cs="Arial"/>
          <w:i/>
          <w:iCs/>
          <w:sz w:val="18"/>
          <w:szCs w:val="18"/>
        </w:rPr>
        <w:t xml:space="preserve"> Rumsfeld</w:t>
      </w:r>
      <w:r w:rsidRPr="00CA2083">
        <w:rPr>
          <w:rFonts w:asciiTheme="majorHAnsi" w:hAnsiTheme="majorHAnsi" w:cs="Arial"/>
          <w:sz w:val="18"/>
          <w:szCs w:val="18"/>
        </w:rPr>
        <w:t xml:space="preserve">, 126 </w:t>
      </w:r>
      <w:proofErr w:type="spellStart"/>
      <w:r w:rsidRPr="00CA2083">
        <w:rPr>
          <w:rFonts w:asciiTheme="majorHAnsi" w:hAnsiTheme="majorHAnsi" w:cs="Arial"/>
          <w:sz w:val="18"/>
          <w:szCs w:val="18"/>
        </w:rPr>
        <w:t>S.Ct</w:t>
      </w:r>
      <w:proofErr w:type="spellEnd"/>
      <w:r w:rsidRPr="00CA2083">
        <w:rPr>
          <w:rFonts w:asciiTheme="majorHAnsi" w:hAnsiTheme="majorHAnsi" w:cs="Arial"/>
          <w:sz w:val="18"/>
          <w:szCs w:val="18"/>
        </w:rPr>
        <w:t xml:space="preserve"> 2749 (2006).</w:t>
      </w:r>
      <w:proofErr w:type="gramEnd"/>
      <w:r w:rsidRPr="00CA2083">
        <w:rPr>
          <w:rFonts w:asciiTheme="majorHAnsi" w:hAnsiTheme="majorHAnsi" w:cs="Arial"/>
          <w:sz w:val="18"/>
          <w:szCs w:val="18"/>
        </w:rPr>
        <w:t xml:space="preserve"> </w:t>
      </w:r>
    </w:p>
  </w:footnote>
  <w:footnote w:id="10">
    <w:p w14:paraId="31860825" w14:textId="77777777" w:rsidR="006E0B44" w:rsidRPr="00674228" w:rsidRDefault="006E0B44" w:rsidP="003D1897">
      <w:pPr>
        <w:jc w:val="both"/>
        <w:rPr>
          <w:rFonts w:asciiTheme="majorHAnsi" w:hAnsiTheme="majorHAnsi"/>
          <w:sz w:val="18"/>
          <w:szCs w:val="18"/>
          <w:lang w:val="fr-FR"/>
        </w:rPr>
      </w:pPr>
      <w:r w:rsidRPr="00E22777">
        <w:rPr>
          <w:rStyle w:val="FootnoteReference"/>
          <w:rFonts w:asciiTheme="majorHAnsi" w:hAnsiTheme="majorHAnsi"/>
          <w:sz w:val="18"/>
          <w:szCs w:val="18"/>
        </w:rPr>
        <w:footnoteRef/>
      </w:r>
      <w:r w:rsidRPr="00674228">
        <w:rPr>
          <w:rFonts w:asciiTheme="majorHAnsi" w:hAnsiTheme="majorHAnsi"/>
          <w:sz w:val="18"/>
          <w:szCs w:val="18"/>
          <w:lang w:val="fr-FR"/>
        </w:rPr>
        <w:t xml:space="preserve"> Article 10(2) de la Convention européenne des droits de l'homme et l'article 13(2)(b) de la Charte africaine des droits de l'homme et des peuples cite également la sécurité nationale en tant que justificatif légitime pour la restriction de la liberté d'expression.  </w:t>
      </w:r>
      <w:r w:rsidRPr="00674228">
        <w:rPr>
          <w:rFonts w:asciiTheme="majorHAnsi" w:hAnsiTheme="majorHAnsi"/>
          <w:i/>
          <w:sz w:val="18"/>
          <w:szCs w:val="18"/>
          <w:lang w:val="fr-FR"/>
        </w:rPr>
        <w:t xml:space="preserve">“La Charte africaine fait deux fois mention du terme "sécurité": dans l'article 27(2) qui exige l'exercice des droits dans le respect de la "sécurité collective" et dans l'article 29(3), qui exige de ne pas "compromettre la sécurité de l'Etat". </w:t>
      </w:r>
      <w:r w:rsidRPr="00674228">
        <w:rPr>
          <w:rFonts w:asciiTheme="majorHAnsi" w:hAnsiTheme="majorHAnsi"/>
          <w:sz w:val="18"/>
          <w:szCs w:val="18"/>
          <w:lang w:val="fr-FR"/>
        </w:rPr>
        <w:t xml:space="preserve">MLDI, Manuel de formation 2015 </w:t>
      </w:r>
    </w:p>
  </w:footnote>
  <w:footnote w:id="11">
    <w:p w14:paraId="71572BD8" w14:textId="3718F726" w:rsidR="006E0B44" w:rsidRPr="00F210A3" w:rsidRDefault="006E0B44" w:rsidP="00E302C3">
      <w:pPr>
        <w:pStyle w:val="FootnoteText"/>
        <w:jc w:val="both"/>
        <w:rPr>
          <w:rFonts w:asciiTheme="majorHAnsi" w:hAnsiTheme="majorHAnsi"/>
          <w:sz w:val="18"/>
          <w:szCs w:val="18"/>
          <w:lang w:val="fr-FR"/>
        </w:rPr>
      </w:pPr>
      <w:r w:rsidRPr="0079455F">
        <w:rPr>
          <w:rStyle w:val="FootnoteReference"/>
          <w:rFonts w:asciiTheme="majorHAnsi" w:hAnsiTheme="majorHAnsi"/>
          <w:sz w:val="18"/>
          <w:szCs w:val="18"/>
        </w:rPr>
        <w:footnoteRef/>
      </w:r>
      <w:r w:rsidRPr="00674228">
        <w:rPr>
          <w:rFonts w:asciiTheme="majorHAnsi" w:hAnsiTheme="majorHAnsi"/>
          <w:sz w:val="18"/>
          <w:szCs w:val="18"/>
          <w:lang w:val="fr-FR"/>
        </w:rPr>
        <w:t xml:space="preserve"> Conseil économique et social des N</w:t>
      </w:r>
      <w:r>
        <w:rPr>
          <w:rFonts w:asciiTheme="majorHAnsi" w:hAnsiTheme="majorHAnsi"/>
          <w:sz w:val="18"/>
          <w:szCs w:val="18"/>
          <w:lang w:val="fr-FR"/>
        </w:rPr>
        <w:t xml:space="preserve">ations </w:t>
      </w:r>
      <w:r w:rsidRPr="00674228">
        <w:rPr>
          <w:rFonts w:asciiTheme="majorHAnsi" w:hAnsiTheme="majorHAnsi"/>
          <w:sz w:val="18"/>
          <w:szCs w:val="18"/>
          <w:lang w:val="fr-FR"/>
        </w:rPr>
        <w:t>U</w:t>
      </w:r>
      <w:r>
        <w:rPr>
          <w:rFonts w:asciiTheme="majorHAnsi" w:hAnsiTheme="majorHAnsi"/>
          <w:sz w:val="18"/>
          <w:szCs w:val="18"/>
          <w:lang w:val="fr-FR"/>
        </w:rPr>
        <w:t>nies</w:t>
      </w:r>
      <w:r w:rsidRPr="00674228">
        <w:rPr>
          <w:rFonts w:asciiTheme="majorHAnsi" w:hAnsiTheme="majorHAnsi"/>
          <w:sz w:val="18"/>
          <w:szCs w:val="18"/>
          <w:lang w:val="fr-FR"/>
        </w:rPr>
        <w:t xml:space="preserve">, Principes de </w:t>
      </w:r>
      <w:r w:rsidRPr="00674228">
        <w:rPr>
          <w:rFonts w:asciiTheme="majorHAnsi" w:hAnsiTheme="majorHAnsi"/>
          <w:i/>
          <w:sz w:val="18"/>
          <w:szCs w:val="18"/>
          <w:lang w:val="fr-FR"/>
        </w:rPr>
        <w:t xml:space="preserve">Syracuse concernant les dispositions du Pacte international relatif aux droits civils et politiques qui autorisent des restrictions ou des dérogations </w:t>
      </w:r>
      <w:r w:rsidRPr="00674228">
        <w:rPr>
          <w:i/>
          <w:sz w:val="18"/>
          <w:szCs w:val="18"/>
          <w:lang w:val="fr-FR"/>
        </w:rPr>
        <w:t>s</w:t>
      </w:r>
      <w:r w:rsidRPr="00674228">
        <w:rPr>
          <w:sz w:val="18"/>
          <w:szCs w:val="18"/>
          <w:lang w:val="fr-FR"/>
        </w:rPr>
        <w:t xml:space="preserve">, UN Doc. No. </w:t>
      </w:r>
      <w:r w:rsidRPr="00F210A3">
        <w:rPr>
          <w:rFonts w:asciiTheme="majorHAnsi" w:hAnsiTheme="majorHAnsi"/>
          <w:sz w:val="18"/>
          <w:szCs w:val="18"/>
          <w:lang w:val="fr-FR"/>
        </w:rPr>
        <w:t>E/CN.4/1985/4, Annexe (1985), Principe 29.</w:t>
      </w:r>
    </w:p>
  </w:footnote>
  <w:footnote w:id="12">
    <w:p w14:paraId="391953BF" w14:textId="7525B177" w:rsidR="006E0B44" w:rsidRPr="0061069B" w:rsidRDefault="006E0B44">
      <w:pPr>
        <w:pStyle w:val="FootnoteText"/>
        <w:rPr>
          <w:rFonts w:asciiTheme="majorHAnsi" w:hAnsiTheme="majorHAnsi"/>
          <w:sz w:val="18"/>
          <w:szCs w:val="18"/>
          <w:lang w:val="en-US"/>
        </w:rPr>
      </w:pPr>
      <w:r w:rsidRPr="0061069B">
        <w:rPr>
          <w:rStyle w:val="FootnoteReference"/>
          <w:rFonts w:asciiTheme="majorHAnsi" w:hAnsiTheme="majorHAnsi"/>
          <w:sz w:val="18"/>
          <w:szCs w:val="18"/>
        </w:rPr>
        <w:footnoteRef/>
      </w:r>
      <w:r w:rsidRPr="0061069B">
        <w:rPr>
          <w:rFonts w:asciiTheme="majorHAnsi" w:hAnsiTheme="majorHAnsi"/>
          <w:sz w:val="18"/>
          <w:szCs w:val="18"/>
        </w:rPr>
        <w:t xml:space="preserve"> </w:t>
      </w:r>
      <w:proofErr w:type="spellStart"/>
      <w:r w:rsidRPr="0061069B">
        <w:rPr>
          <w:rFonts w:asciiTheme="majorHAnsi" w:hAnsiTheme="majorHAnsi"/>
          <w:sz w:val="18"/>
          <w:szCs w:val="18"/>
          <w:lang w:val="en-US"/>
        </w:rPr>
        <w:t>Comite</w:t>
      </w:r>
      <w:proofErr w:type="spellEnd"/>
      <w:r w:rsidRPr="0061069B">
        <w:rPr>
          <w:rFonts w:asciiTheme="majorHAnsi" w:hAnsiTheme="majorHAnsi"/>
          <w:sz w:val="18"/>
          <w:szCs w:val="18"/>
          <w:lang w:val="en-US"/>
        </w:rPr>
        <w:t xml:space="preserve"> des </w:t>
      </w:r>
      <w:proofErr w:type="spellStart"/>
      <w:r w:rsidRPr="0061069B">
        <w:rPr>
          <w:rFonts w:asciiTheme="majorHAnsi" w:hAnsiTheme="majorHAnsi"/>
          <w:sz w:val="18"/>
          <w:szCs w:val="18"/>
          <w:lang w:val="en-US"/>
        </w:rPr>
        <w:t>Droits</w:t>
      </w:r>
      <w:proofErr w:type="spellEnd"/>
      <w:r w:rsidRPr="0061069B">
        <w:rPr>
          <w:rFonts w:asciiTheme="majorHAnsi" w:hAnsiTheme="majorHAnsi"/>
          <w:sz w:val="18"/>
          <w:szCs w:val="18"/>
          <w:lang w:val="en-US"/>
        </w:rPr>
        <w:t xml:space="preserve"> de </w:t>
      </w:r>
      <w:proofErr w:type="spellStart"/>
      <w:r w:rsidRPr="0061069B">
        <w:rPr>
          <w:rFonts w:asciiTheme="majorHAnsi" w:hAnsiTheme="majorHAnsi"/>
          <w:sz w:val="18"/>
          <w:szCs w:val="18"/>
          <w:lang w:val="en-US"/>
        </w:rPr>
        <w:t>l’homme</w:t>
      </w:r>
      <w:proofErr w:type="spellEnd"/>
      <w:r w:rsidRPr="0061069B">
        <w:rPr>
          <w:rFonts w:asciiTheme="majorHAnsi" w:hAnsiTheme="majorHAnsi"/>
          <w:sz w:val="18"/>
          <w:szCs w:val="18"/>
          <w:lang w:val="en-US"/>
        </w:rPr>
        <w:t xml:space="preserve">, Observation </w:t>
      </w:r>
      <w:proofErr w:type="spellStart"/>
      <w:r w:rsidRPr="0061069B">
        <w:rPr>
          <w:rFonts w:asciiTheme="majorHAnsi" w:hAnsiTheme="majorHAnsi"/>
          <w:sz w:val="18"/>
          <w:szCs w:val="18"/>
          <w:lang w:val="en-US"/>
        </w:rPr>
        <w:t>Generale</w:t>
      </w:r>
      <w:proofErr w:type="spellEnd"/>
      <w:r w:rsidRPr="0061069B">
        <w:rPr>
          <w:rFonts w:asciiTheme="majorHAnsi" w:hAnsiTheme="majorHAnsi"/>
          <w:sz w:val="18"/>
          <w:szCs w:val="18"/>
          <w:lang w:val="en-US"/>
        </w:rPr>
        <w:t xml:space="preserve"> 34, 2012</w:t>
      </w:r>
    </w:p>
  </w:footnote>
  <w:footnote w:id="13">
    <w:p w14:paraId="2AA28830" w14:textId="622EBC5E" w:rsidR="006E0B44" w:rsidRPr="00F210A3" w:rsidRDefault="006E0B44">
      <w:pPr>
        <w:pStyle w:val="FootnoteText"/>
        <w:rPr>
          <w:rFonts w:asciiTheme="majorHAnsi" w:hAnsiTheme="majorHAnsi"/>
          <w:sz w:val="18"/>
          <w:szCs w:val="18"/>
          <w:lang w:val="en-US"/>
        </w:rPr>
      </w:pPr>
      <w:r w:rsidRPr="0061069B">
        <w:rPr>
          <w:rStyle w:val="FootnoteReference"/>
          <w:rFonts w:asciiTheme="majorHAnsi" w:hAnsiTheme="majorHAnsi"/>
          <w:sz w:val="18"/>
          <w:szCs w:val="18"/>
        </w:rPr>
        <w:footnoteRef/>
      </w:r>
      <w:r w:rsidRPr="0061069B">
        <w:rPr>
          <w:rFonts w:asciiTheme="majorHAnsi" w:hAnsiTheme="majorHAnsi"/>
          <w:sz w:val="18"/>
          <w:szCs w:val="18"/>
        </w:rPr>
        <w:t xml:space="preserve"> </w:t>
      </w:r>
      <w:r w:rsidRPr="0061069B">
        <w:rPr>
          <w:rFonts w:asciiTheme="majorHAnsi" w:hAnsiTheme="majorHAnsi"/>
          <w:sz w:val="18"/>
          <w:szCs w:val="18"/>
          <w:lang w:val="en-US"/>
        </w:rPr>
        <w:t xml:space="preserve">Observation </w:t>
      </w:r>
      <w:proofErr w:type="spellStart"/>
      <w:r w:rsidRPr="0061069B">
        <w:rPr>
          <w:rFonts w:asciiTheme="majorHAnsi" w:hAnsiTheme="majorHAnsi"/>
          <w:sz w:val="18"/>
          <w:szCs w:val="18"/>
          <w:lang w:val="en-US"/>
        </w:rPr>
        <w:t>Generale</w:t>
      </w:r>
      <w:proofErr w:type="spellEnd"/>
      <w:r w:rsidRPr="0061069B">
        <w:rPr>
          <w:rFonts w:asciiTheme="majorHAnsi" w:hAnsiTheme="majorHAnsi"/>
          <w:sz w:val="18"/>
          <w:szCs w:val="18"/>
          <w:lang w:val="en-US"/>
        </w:rPr>
        <w:t xml:space="preserve"> 34, </w:t>
      </w:r>
      <w:proofErr w:type="spellStart"/>
      <w:r w:rsidRPr="0061069B">
        <w:rPr>
          <w:rFonts w:asciiTheme="majorHAnsi" w:hAnsiTheme="majorHAnsi"/>
          <w:sz w:val="18"/>
          <w:szCs w:val="18"/>
          <w:lang w:val="en-US"/>
        </w:rPr>
        <w:t>Paragraphe</w:t>
      </w:r>
      <w:proofErr w:type="spellEnd"/>
      <w:r w:rsidRPr="0061069B">
        <w:rPr>
          <w:rFonts w:asciiTheme="majorHAnsi" w:hAnsiTheme="majorHAnsi"/>
          <w:sz w:val="18"/>
          <w:szCs w:val="18"/>
          <w:lang w:val="en-US"/>
        </w:rPr>
        <w:t xml:space="preserve"> 30.</w:t>
      </w:r>
      <w:r w:rsidRPr="00F210A3">
        <w:rPr>
          <w:rFonts w:asciiTheme="majorHAnsi" w:hAnsiTheme="majorHAnsi"/>
          <w:sz w:val="18"/>
          <w:szCs w:val="18"/>
          <w:lang w:val="en-US"/>
        </w:rPr>
        <w:t xml:space="preserve"> </w:t>
      </w:r>
    </w:p>
  </w:footnote>
  <w:footnote w:id="14">
    <w:p w14:paraId="3839EFA9" w14:textId="175C1BA5" w:rsidR="006E0B44" w:rsidRPr="00674228" w:rsidRDefault="006E0B44" w:rsidP="00C0089A">
      <w:pPr>
        <w:pStyle w:val="FootnoteText"/>
        <w:jc w:val="both"/>
        <w:rPr>
          <w:rFonts w:asciiTheme="majorHAnsi" w:hAnsiTheme="majorHAnsi"/>
          <w:sz w:val="18"/>
          <w:szCs w:val="18"/>
          <w:lang w:val="fr-FR"/>
        </w:rPr>
      </w:pPr>
      <w:r w:rsidRPr="00C0089A">
        <w:rPr>
          <w:rStyle w:val="FootnoteReference"/>
          <w:rFonts w:asciiTheme="majorHAnsi" w:hAnsiTheme="majorHAnsi"/>
          <w:sz w:val="18"/>
          <w:szCs w:val="18"/>
        </w:rPr>
        <w:footnoteRef/>
      </w:r>
      <w:r w:rsidRPr="00674228">
        <w:rPr>
          <w:rFonts w:asciiTheme="majorHAnsi" w:hAnsiTheme="majorHAnsi"/>
          <w:sz w:val="18"/>
          <w:szCs w:val="18"/>
          <w:lang w:val="fr-FR"/>
        </w:rPr>
        <w:t xml:space="preserve"> </w:t>
      </w:r>
      <w:r>
        <w:rPr>
          <w:rFonts w:asciiTheme="majorHAnsi" w:hAnsiTheme="majorHAnsi"/>
          <w:sz w:val="18"/>
          <w:szCs w:val="18"/>
          <w:lang w:val="fr-FR"/>
        </w:rPr>
        <w:t xml:space="preserve">Principes de </w:t>
      </w:r>
      <w:proofErr w:type="spellStart"/>
      <w:r>
        <w:rPr>
          <w:rFonts w:asciiTheme="majorHAnsi" w:hAnsiTheme="majorHAnsi"/>
          <w:sz w:val="18"/>
          <w:szCs w:val="18"/>
          <w:lang w:val="fr-FR"/>
        </w:rPr>
        <w:t>Siracusa</w:t>
      </w:r>
      <w:proofErr w:type="spellEnd"/>
      <w:r w:rsidRPr="00674228">
        <w:rPr>
          <w:rFonts w:asciiTheme="majorHAnsi" w:hAnsiTheme="majorHAnsi"/>
          <w:sz w:val="18"/>
          <w:szCs w:val="18"/>
          <w:lang w:val="fr-FR"/>
        </w:rPr>
        <w:t>,</w:t>
      </w:r>
      <w:r>
        <w:rPr>
          <w:rFonts w:asciiTheme="majorHAnsi" w:hAnsiTheme="majorHAnsi"/>
          <w:sz w:val="18"/>
          <w:szCs w:val="18"/>
          <w:lang w:val="fr-FR"/>
        </w:rPr>
        <w:t xml:space="preserve"> Op.cit., </w:t>
      </w:r>
      <w:r w:rsidRPr="00674228">
        <w:rPr>
          <w:rFonts w:asciiTheme="majorHAnsi" w:hAnsiTheme="majorHAnsi"/>
          <w:sz w:val="18"/>
          <w:szCs w:val="18"/>
          <w:lang w:val="fr-FR"/>
        </w:rPr>
        <w:t xml:space="preserve"> Principe 30.</w:t>
      </w:r>
    </w:p>
  </w:footnote>
  <w:footnote w:id="15">
    <w:p w14:paraId="21ABF958" w14:textId="020CA795" w:rsidR="006E0B44" w:rsidRPr="00674228" w:rsidRDefault="006E0B44">
      <w:pPr>
        <w:pStyle w:val="FootnoteText"/>
        <w:rPr>
          <w:rFonts w:asciiTheme="majorHAnsi" w:hAnsiTheme="majorHAnsi"/>
          <w:sz w:val="18"/>
          <w:szCs w:val="18"/>
          <w:lang w:val="fr-FR"/>
        </w:rPr>
      </w:pPr>
      <w:r w:rsidRPr="00C0089A">
        <w:rPr>
          <w:rStyle w:val="FootnoteReference"/>
          <w:rFonts w:asciiTheme="majorHAnsi" w:hAnsiTheme="majorHAnsi"/>
          <w:sz w:val="18"/>
          <w:szCs w:val="18"/>
        </w:rPr>
        <w:footnoteRef/>
      </w:r>
      <w:r>
        <w:rPr>
          <w:rFonts w:asciiTheme="majorHAnsi" w:hAnsiTheme="majorHAnsi"/>
          <w:sz w:val="18"/>
          <w:szCs w:val="18"/>
          <w:lang w:val="fr-FR"/>
        </w:rPr>
        <w:t xml:space="preserve"> </w:t>
      </w:r>
      <w:proofErr w:type="spellStart"/>
      <w:r>
        <w:rPr>
          <w:rFonts w:asciiTheme="majorHAnsi" w:hAnsiTheme="majorHAnsi"/>
          <w:sz w:val="18"/>
          <w:szCs w:val="18"/>
          <w:lang w:val="fr-FR"/>
        </w:rPr>
        <w:t>Ibid</w:t>
      </w:r>
      <w:proofErr w:type="spellEnd"/>
      <w:r w:rsidRPr="00674228">
        <w:rPr>
          <w:rFonts w:asciiTheme="majorHAnsi" w:hAnsiTheme="majorHAnsi"/>
          <w:sz w:val="18"/>
          <w:szCs w:val="18"/>
          <w:lang w:val="fr-FR"/>
        </w:rPr>
        <w:t>, Principe 31</w:t>
      </w:r>
    </w:p>
  </w:footnote>
  <w:footnote w:id="16">
    <w:p w14:paraId="351595E2" w14:textId="6001EE0C" w:rsidR="006E0B44" w:rsidRPr="0061069B" w:rsidRDefault="006E0B44">
      <w:pPr>
        <w:pStyle w:val="FootnoteText"/>
        <w:rPr>
          <w:rFonts w:asciiTheme="majorHAnsi" w:hAnsiTheme="majorHAnsi"/>
          <w:sz w:val="18"/>
          <w:szCs w:val="18"/>
          <w:lang w:val="en-US"/>
        </w:rPr>
      </w:pPr>
      <w:r w:rsidRPr="0061069B">
        <w:rPr>
          <w:rStyle w:val="FootnoteReference"/>
          <w:rFonts w:asciiTheme="majorHAnsi" w:hAnsiTheme="majorHAnsi"/>
          <w:sz w:val="18"/>
          <w:szCs w:val="18"/>
        </w:rPr>
        <w:footnoteRef/>
      </w:r>
      <w:r w:rsidRPr="0061069B">
        <w:rPr>
          <w:rFonts w:asciiTheme="majorHAnsi" w:hAnsiTheme="majorHAnsi"/>
          <w:sz w:val="18"/>
          <w:szCs w:val="18"/>
        </w:rPr>
        <w:t xml:space="preserve"> </w:t>
      </w:r>
      <w:r w:rsidRPr="0061069B">
        <w:rPr>
          <w:rFonts w:asciiTheme="majorHAnsi" w:hAnsiTheme="majorHAnsi"/>
          <w:sz w:val="18"/>
          <w:szCs w:val="18"/>
          <w:lang w:val="en-US"/>
        </w:rPr>
        <w:t xml:space="preserve">Observation </w:t>
      </w:r>
      <w:proofErr w:type="spellStart"/>
      <w:r w:rsidRPr="0061069B">
        <w:rPr>
          <w:rFonts w:asciiTheme="majorHAnsi" w:hAnsiTheme="majorHAnsi"/>
          <w:sz w:val="18"/>
          <w:szCs w:val="18"/>
          <w:lang w:val="en-US"/>
        </w:rPr>
        <w:t>Generale</w:t>
      </w:r>
      <w:proofErr w:type="spellEnd"/>
      <w:r w:rsidRPr="0061069B">
        <w:rPr>
          <w:rFonts w:asciiTheme="majorHAnsi" w:hAnsiTheme="majorHAnsi"/>
          <w:sz w:val="18"/>
          <w:szCs w:val="18"/>
          <w:lang w:val="en-US"/>
        </w:rPr>
        <w:t xml:space="preserve"> 34, </w:t>
      </w:r>
      <w:proofErr w:type="spellStart"/>
      <w:r w:rsidRPr="0061069B">
        <w:rPr>
          <w:rFonts w:asciiTheme="majorHAnsi" w:hAnsiTheme="majorHAnsi"/>
          <w:sz w:val="18"/>
          <w:szCs w:val="18"/>
          <w:lang w:val="en-US"/>
        </w:rPr>
        <w:t>Paragraphe</w:t>
      </w:r>
      <w:proofErr w:type="spellEnd"/>
      <w:r>
        <w:rPr>
          <w:rFonts w:asciiTheme="majorHAnsi" w:hAnsiTheme="majorHAnsi"/>
          <w:sz w:val="18"/>
          <w:szCs w:val="18"/>
          <w:lang w:val="en-US"/>
        </w:rPr>
        <w:t xml:space="preserve"> 35</w:t>
      </w:r>
      <w:r w:rsidRPr="0061069B">
        <w:rPr>
          <w:rFonts w:asciiTheme="majorHAnsi" w:hAnsiTheme="majorHAnsi"/>
          <w:sz w:val="18"/>
          <w:szCs w:val="18"/>
          <w:lang w:val="en-US"/>
        </w:rPr>
        <w:t xml:space="preserve">. </w:t>
      </w:r>
    </w:p>
  </w:footnote>
  <w:footnote w:id="17">
    <w:p w14:paraId="234971DA" w14:textId="7D613564" w:rsidR="006E0B44" w:rsidRPr="0061069B" w:rsidRDefault="006E0B44">
      <w:pPr>
        <w:pStyle w:val="FootnoteText"/>
        <w:rPr>
          <w:rFonts w:asciiTheme="majorHAnsi" w:hAnsiTheme="majorHAnsi"/>
          <w:sz w:val="18"/>
          <w:szCs w:val="18"/>
          <w:lang w:val="en-US"/>
        </w:rPr>
      </w:pPr>
      <w:r w:rsidRPr="0061069B">
        <w:rPr>
          <w:rStyle w:val="FootnoteReference"/>
          <w:rFonts w:asciiTheme="majorHAnsi" w:hAnsiTheme="majorHAnsi"/>
          <w:sz w:val="18"/>
          <w:szCs w:val="18"/>
        </w:rPr>
        <w:footnoteRef/>
      </w:r>
      <w:r w:rsidRPr="0061069B">
        <w:rPr>
          <w:rFonts w:asciiTheme="majorHAnsi" w:hAnsiTheme="majorHAnsi"/>
          <w:sz w:val="18"/>
          <w:szCs w:val="18"/>
        </w:rPr>
        <w:t xml:space="preserve"> </w:t>
      </w:r>
      <w:r w:rsidRPr="0061069B">
        <w:rPr>
          <w:rFonts w:asciiTheme="majorHAnsi" w:hAnsiTheme="majorHAnsi"/>
          <w:sz w:val="18"/>
          <w:szCs w:val="18"/>
          <w:lang w:val="en-US"/>
        </w:rPr>
        <w:t xml:space="preserve">Observation </w:t>
      </w:r>
      <w:proofErr w:type="spellStart"/>
      <w:r w:rsidRPr="0061069B">
        <w:rPr>
          <w:rFonts w:asciiTheme="majorHAnsi" w:hAnsiTheme="majorHAnsi"/>
          <w:sz w:val="18"/>
          <w:szCs w:val="18"/>
          <w:lang w:val="en-US"/>
        </w:rPr>
        <w:t>Generale</w:t>
      </w:r>
      <w:proofErr w:type="spellEnd"/>
      <w:r w:rsidRPr="0061069B">
        <w:rPr>
          <w:rFonts w:asciiTheme="majorHAnsi" w:hAnsiTheme="majorHAnsi"/>
          <w:sz w:val="18"/>
          <w:szCs w:val="18"/>
          <w:lang w:val="en-US"/>
        </w:rPr>
        <w:t xml:space="preserve"> 34, </w:t>
      </w:r>
      <w:proofErr w:type="spellStart"/>
      <w:r w:rsidRPr="0061069B">
        <w:rPr>
          <w:rFonts w:asciiTheme="majorHAnsi" w:hAnsiTheme="majorHAnsi"/>
          <w:sz w:val="18"/>
          <w:szCs w:val="18"/>
          <w:lang w:val="en-US"/>
        </w:rPr>
        <w:t>Paragraphe</w:t>
      </w:r>
      <w:proofErr w:type="spellEnd"/>
      <w:r>
        <w:rPr>
          <w:rFonts w:asciiTheme="majorHAnsi" w:hAnsiTheme="majorHAnsi"/>
          <w:sz w:val="18"/>
          <w:szCs w:val="18"/>
          <w:lang w:val="en-US"/>
        </w:rPr>
        <w:t xml:space="preserve"> 4</w:t>
      </w:r>
      <w:r w:rsidRPr="0061069B">
        <w:rPr>
          <w:rFonts w:asciiTheme="majorHAnsi" w:hAnsiTheme="majorHAnsi"/>
          <w:sz w:val="18"/>
          <w:szCs w:val="18"/>
          <w:lang w:val="en-US"/>
        </w:rPr>
        <w:t xml:space="preserve">5. </w:t>
      </w:r>
    </w:p>
  </w:footnote>
  <w:footnote w:id="18">
    <w:p w14:paraId="20F88EFB" w14:textId="5E2FA4AB" w:rsidR="006E0B44" w:rsidRPr="00F210A3" w:rsidRDefault="006E0B44">
      <w:pPr>
        <w:pStyle w:val="FootnoteText"/>
        <w:rPr>
          <w:rFonts w:asciiTheme="majorHAnsi" w:hAnsiTheme="majorHAnsi"/>
          <w:sz w:val="18"/>
          <w:szCs w:val="18"/>
          <w:lang w:val="en-US"/>
        </w:rPr>
      </w:pPr>
      <w:r w:rsidRPr="0061069B">
        <w:rPr>
          <w:rStyle w:val="FootnoteReference"/>
          <w:rFonts w:asciiTheme="majorHAnsi" w:hAnsiTheme="majorHAnsi"/>
          <w:sz w:val="18"/>
          <w:szCs w:val="18"/>
        </w:rPr>
        <w:footnoteRef/>
      </w:r>
      <w:r w:rsidRPr="0061069B">
        <w:rPr>
          <w:rFonts w:asciiTheme="majorHAnsi" w:hAnsiTheme="majorHAnsi"/>
          <w:sz w:val="18"/>
          <w:szCs w:val="18"/>
        </w:rPr>
        <w:t xml:space="preserve"> </w:t>
      </w:r>
      <w:r w:rsidRPr="0061069B">
        <w:rPr>
          <w:rFonts w:asciiTheme="majorHAnsi" w:hAnsiTheme="majorHAnsi"/>
          <w:sz w:val="18"/>
          <w:szCs w:val="18"/>
          <w:lang w:val="en-US"/>
        </w:rPr>
        <w:t xml:space="preserve">Observation </w:t>
      </w:r>
      <w:proofErr w:type="spellStart"/>
      <w:r w:rsidRPr="0061069B">
        <w:rPr>
          <w:rFonts w:asciiTheme="majorHAnsi" w:hAnsiTheme="majorHAnsi"/>
          <w:sz w:val="18"/>
          <w:szCs w:val="18"/>
          <w:lang w:val="en-US"/>
        </w:rPr>
        <w:t>Generale</w:t>
      </w:r>
      <w:proofErr w:type="spellEnd"/>
      <w:r w:rsidRPr="0061069B">
        <w:rPr>
          <w:rFonts w:asciiTheme="majorHAnsi" w:hAnsiTheme="majorHAnsi"/>
          <w:sz w:val="18"/>
          <w:szCs w:val="18"/>
          <w:lang w:val="en-US"/>
        </w:rPr>
        <w:t xml:space="preserve"> 34, </w:t>
      </w:r>
      <w:proofErr w:type="spellStart"/>
      <w:r w:rsidRPr="0061069B">
        <w:rPr>
          <w:rFonts w:asciiTheme="majorHAnsi" w:hAnsiTheme="majorHAnsi"/>
          <w:sz w:val="18"/>
          <w:szCs w:val="18"/>
          <w:lang w:val="en-US"/>
        </w:rPr>
        <w:t>Par</w:t>
      </w:r>
      <w:r>
        <w:rPr>
          <w:rFonts w:asciiTheme="majorHAnsi" w:hAnsiTheme="majorHAnsi"/>
          <w:sz w:val="18"/>
          <w:szCs w:val="18"/>
          <w:lang w:val="en-US"/>
        </w:rPr>
        <w:t>agraphe</w:t>
      </w:r>
      <w:proofErr w:type="spellEnd"/>
      <w:r>
        <w:rPr>
          <w:rFonts w:asciiTheme="majorHAnsi" w:hAnsiTheme="majorHAnsi"/>
          <w:sz w:val="18"/>
          <w:szCs w:val="18"/>
          <w:lang w:val="en-US"/>
        </w:rPr>
        <w:t xml:space="preserve"> 46</w:t>
      </w:r>
      <w:r w:rsidRPr="0061069B">
        <w:rPr>
          <w:rFonts w:asciiTheme="majorHAnsi" w:hAnsiTheme="majorHAnsi"/>
          <w:sz w:val="18"/>
          <w:szCs w:val="18"/>
          <w:lang w:val="en-US"/>
        </w:rPr>
        <w:t>.</w:t>
      </w:r>
      <w:r w:rsidRPr="00F210A3">
        <w:rPr>
          <w:rFonts w:asciiTheme="majorHAnsi" w:hAnsiTheme="majorHAnsi"/>
          <w:sz w:val="18"/>
          <w:szCs w:val="18"/>
          <w:lang w:val="en-US"/>
        </w:rPr>
        <w:t xml:space="preserve"> </w:t>
      </w:r>
    </w:p>
  </w:footnote>
  <w:footnote w:id="19">
    <w:p w14:paraId="5D895B5D" w14:textId="77777777" w:rsidR="006E0B44" w:rsidRPr="00674228" w:rsidRDefault="006E0B44" w:rsidP="002F0AFF">
      <w:pPr>
        <w:pStyle w:val="FootnoteText"/>
        <w:rPr>
          <w:rFonts w:asciiTheme="majorHAnsi" w:hAnsiTheme="majorHAnsi"/>
          <w:sz w:val="18"/>
          <w:szCs w:val="18"/>
          <w:lang w:val="fr-FR"/>
        </w:rPr>
      </w:pPr>
      <w:r w:rsidRPr="009C57C2">
        <w:rPr>
          <w:rStyle w:val="FootnoteReference"/>
          <w:rFonts w:asciiTheme="majorHAnsi" w:hAnsiTheme="majorHAnsi"/>
          <w:sz w:val="18"/>
          <w:szCs w:val="18"/>
        </w:rPr>
        <w:footnoteRef/>
      </w:r>
      <w:r w:rsidRPr="00674228">
        <w:rPr>
          <w:rFonts w:asciiTheme="majorHAnsi" w:hAnsiTheme="majorHAnsi"/>
          <w:sz w:val="18"/>
          <w:szCs w:val="18"/>
          <w:lang w:val="fr-FR"/>
        </w:rPr>
        <w:t xml:space="preserve"> Observation Générale 34 (op. </w:t>
      </w:r>
      <w:proofErr w:type="spellStart"/>
      <w:r w:rsidRPr="00674228">
        <w:rPr>
          <w:rFonts w:asciiTheme="majorHAnsi" w:hAnsiTheme="majorHAnsi"/>
          <w:sz w:val="18"/>
          <w:szCs w:val="18"/>
          <w:lang w:val="fr-FR"/>
        </w:rPr>
        <w:t>cit</w:t>
      </w:r>
      <w:proofErr w:type="spellEnd"/>
      <w:r w:rsidRPr="00674228">
        <w:rPr>
          <w:rFonts w:asciiTheme="majorHAnsi" w:hAnsiTheme="majorHAnsi"/>
          <w:sz w:val="18"/>
          <w:szCs w:val="18"/>
          <w:lang w:val="fr-FR"/>
        </w:rPr>
        <w:t>), par. 50-51</w:t>
      </w:r>
    </w:p>
  </w:footnote>
  <w:footnote w:id="20">
    <w:p w14:paraId="7982FA0A" w14:textId="11F7A597" w:rsidR="006E0B44" w:rsidRPr="0061069B" w:rsidRDefault="006E0B44" w:rsidP="0061069B">
      <w:pPr>
        <w:pStyle w:val="NormalWeb"/>
        <w:spacing w:before="0" w:beforeAutospacing="0" w:after="0" w:afterAutospacing="0"/>
        <w:rPr>
          <w:rFonts w:asciiTheme="majorHAnsi" w:hAnsiTheme="majorHAnsi"/>
          <w:lang w:eastAsia="en-US"/>
        </w:rPr>
      </w:pPr>
      <w:r w:rsidRPr="0061069B">
        <w:rPr>
          <w:rStyle w:val="FootnoteReference"/>
          <w:rFonts w:asciiTheme="majorHAnsi" w:hAnsiTheme="majorHAnsi"/>
          <w:sz w:val="18"/>
          <w:szCs w:val="18"/>
        </w:rPr>
        <w:footnoteRef/>
      </w:r>
      <w:r w:rsidRPr="0061069B">
        <w:rPr>
          <w:rFonts w:asciiTheme="majorHAnsi" w:hAnsiTheme="majorHAnsi"/>
          <w:sz w:val="18"/>
          <w:szCs w:val="18"/>
          <w:lang w:val="fr-FR"/>
        </w:rPr>
        <w:t xml:space="preserve"> ARTICLE 19</w:t>
      </w:r>
      <w:r w:rsidRPr="0061069B">
        <w:rPr>
          <w:rFonts w:asciiTheme="majorHAnsi" w:hAnsiTheme="majorHAnsi"/>
          <w:sz w:val="18"/>
          <w:szCs w:val="18"/>
        </w:rPr>
        <w:t xml:space="preserve"> </w:t>
      </w:r>
      <w:r w:rsidRPr="0061069B">
        <w:rPr>
          <w:rFonts w:asciiTheme="majorHAnsi" w:hAnsiTheme="majorHAnsi"/>
          <w:sz w:val="18"/>
          <w:szCs w:val="18"/>
          <w:lang w:eastAsia="en-US"/>
        </w:rPr>
        <w:t xml:space="preserve">Interdiction de </w:t>
      </w:r>
      <w:proofErr w:type="spellStart"/>
      <w:r w:rsidRPr="0061069B">
        <w:rPr>
          <w:rFonts w:asciiTheme="majorHAnsi" w:hAnsiTheme="majorHAnsi"/>
          <w:sz w:val="18"/>
          <w:szCs w:val="18"/>
          <w:lang w:eastAsia="en-US"/>
        </w:rPr>
        <w:t>l’incitation</w:t>
      </w:r>
      <w:proofErr w:type="spellEnd"/>
      <w:r w:rsidRPr="0061069B">
        <w:rPr>
          <w:rFonts w:asciiTheme="majorHAnsi" w:hAnsiTheme="majorHAnsi"/>
          <w:sz w:val="18"/>
          <w:szCs w:val="18"/>
          <w:lang w:eastAsia="en-US"/>
        </w:rPr>
        <w:t xml:space="preserve"> à la discrimination, à </w:t>
      </w:r>
      <w:proofErr w:type="spellStart"/>
      <w:r w:rsidRPr="0061069B">
        <w:rPr>
          <w:rFonts w:asciiTheme="majorHAnsi" w:hAnsiTheme="majorHAnsi"/>
          <w:sz w:val="18"/>
          <w:szCs w:val="18"/>
          <w:lang w:eastAsia="en-US"/>
        </w:rPr>
        <w:t>l’hostilite</w:t>
      </w:r>
      <w:proofErr w:type="spellEnd"/>
      <w:r w:rsidRPr="0061069B">
        <w:rPr>
          <w:rFonts w:asciiTheme="majorHAnsi" w:hAnsiTheme="majorHAnsi"/>
          <w:sz w:val="18"/>
          <w:szCs w:val="18"/>
          <w:lang w:eastAsia="en-US"/>
        </w:rPr>
        <w:t>́ et à la violence</w:t>
      </w:r>
      <w:r w:rsidRPr="0061069B">
        <w:rPr>
          <w:rFonts w:asciiTheme="majorHAnsi" w:hAnsiTheme="majorHAnsi"/>
          <w:sz w:val="18"/>
          <w:szCs w:val="18"/>
          <w:lang w:val="fr-FR"/>
        </w:rPr>
        <w:t xml:space="preserve">, 2012, Policy </w:t>
      </w:r>
      <w:proofErr w:type="spellStart"/>
      <w:r w:rsidRPr="0061069B">
        <w:rPr>
          <w:rFonts w:asciiTheme="majorHAnsi" w:hAnsiTheme="majorHAnsi"/>
          <w:sz w:val="18"/>
          <w:szCs w:val="18"/>
          <w:lang w:val="fr-FR"/>
        </w:rPr>
        <w:t>Brief</w:t>
      </w:r>
      <w:proofErr w:type="spellEnd"/>
      <w:r w:rsidRPr="0061069B">
        <w:rPr>
          <w:rFonts w:asciiTheme="majorHAnsi" w:hAnsiTheme="majorHAnsi"/>
          <w:sz w:val="18"/>
          <w:szCs w:val="18"/>
          <w:lang w:val="fr-FR"/>
        </w:rPr>
        <w:t>, https://www.article19.org/data/files/medialibrary/3572/12-11-20-PO-incitement-FR.pdf</w:t>
      </w:r>
    </w:p>
  </w:footnote>
  <w:footnote w:id="21">
    <w:p w14:paraId="55775FFC" w14:textId="4C0622F4" w:rsidR="006E0B44" w:rsidRPr="00A76BFE" w:rsidRDefault="006E0B44">
      <w:pPr>
        <w:pStyle w:val="FootnoteText"/>
        <w:rPr>
          <w:rFonts w:asciiTheme="majorHAnsi" w:hAnsiTheme="majorHAnsi"/>
          <w:sz w:val="18"/>
          <w:szCs w:val="18"/>
          <w:lang w:val="en-US"/>
        </w:rPr>
      </w:pPr>
      <w:r w:rsidRPr="00A76BFE">
        <w:rPr>
          <w:rStyle w:val="FootnoteReference"/>
          <w:rFonts w:asciiTheme="majorHAnsi" w:hAnsiTheme="majorHAnsi"/>
          <w:sz w:val="18"/>
          <w:szCs w:val="18"/>
        </w:rPr>
        <w:footnoteRef/>
      </w:r>
      <w:r w:rsidRPr="00A76BFE">
        <w:rPr>
          <w:rFonts w:asciiTheme="majorHAnsi" w:hAnsiTheme="majorHAnsi"/>
          <w:sz w:val="18"/>
          <w:szCs w:val="18"/>
        </w:rPr>
        <w:t xml:space="preserve"> </w:t>
      </w:r>
      <w:r w:rsidRPr="00A76BFE">
        <w:rPr>
          <w:rFonts w:asciiTheme="majorHAnsi" w:hAnsiTheme="majorHAnsi"/>
          <w:sz w:val="18"/>
          <w:szCs w:val="18"/>
          <w:lang w:val="en-US"/>
        </w:rPr>
        <w:t xml:space="preserve">ARTICLE 19, 2012, </w:t>
      </w:r>
      <w:proofErr w:type="spellStart"/>
      <w:r w:rsidRPr="00A76BFE">
        <w:rPr>
          <w:rFonts w:asciiTheme="majorHAnsi" w:hAnsiTheme="majorHAnsi"/>
          <w:sz w:val="18"/>
          <w:szCs w:val="18"/>
          <w:lang w:val="en-US"/>
        </w:rPr>
        <w:t>Op.Cit</w:t>
      </w:r>
      <w:proofErr w:type="spellEnd"/>
      <w:proofErr w:type="gramStart"/>
      <w:r w:rsidRPr="00A76BFE">
        <w:rPr>
          <w:rFonts w:asciiTheme="majorHAnsi" w:hAnsiTheme="majorHAnsi"/>
          <w:sz w:val="18"/>
          <w:szCs w:val="18"/>
          <w:lang w:val="en-US"/>
        </w:rPr>
        <w:t>.,</w:t>
      </w:r>
      <w:proofErr w:type="gramEnd"/>
      <w:r w:rsidRPr="00A76BFE">
        <w:rPr>
          <w:rFonts w:asciiTheme="majorHAnsi" w:hAnsiTheme="majorHAnsi"/>
          <w:sz w:val="18"/>
          <w:szCs w:val="18"/>
          <w:lang w:val="en-US"/>
        </w:rPr>
        <w:t xml:space="preserve"> p.18</w:t>
      </w:r>
    </w:p>
  </w:footnote>
  <w:footnote w:id="22">
    <w:p w14:paraId="4F044F53" w14:textId="2277BCB0" w:rsidR="006E0B44" w:rsidRPr="00343BCA" w:rsidRDefault="006E0B44">
      <w:pPr>
        <w:pStyle w:val="FootnoteText"/>
        <w:rPr>
          <w:rFonts w:asciiTheme="majorHAnsi" w:hAnsiTheme="majorHAnsi"/>
          <w:sz w:val="18"/>
          <w:szCs w:val="18"/>
          <w:lang w:val="en-US"/>
        </w:rPr>
      </w:pPr>
      <w:r w:rsidRPr="00A76BFE">
        <w:rPr>
          <w:rStyle w:val="FootnoteReference"/>
          <w:rFonts w:asciiTheme="majorHAnsi" w:hAnsiTheme="majorHAnsi"/>
          <w:sz w:val="18"/>
          <w:szCs w:val="18"/>
        </w:rPr>
        <w:footnoteRef/>
      </w:r>
      <w:r w:rsidRPr="00A76BFE">
        <w:rPr>
          <w:rFonts w:asciiTheme="majorHAnsi" w:hAnsiTheme="majorHAnsi"/>
          <w:sz w:val="18"/>
          <w:szCs w:val="18"/>
        </w:rPr>
        <w:t xml:space="preserve"> </w:t>
      </w:r>
      <w:r w:rsidRPr="00A76BFE">
        <w:rPr>
          <w:rFonts w:asciiTheme="majorHAnsi" w:hAnsiTheme="majorHAnsi"/>
          <w:sz w:val="18"/>
          <w:szCs w:val="18"/>
          <w:lang w:val="en-US"/>
        </w:rPr>
        <w:t>ARTICLE 19</w:t>
      </w:r>
      <w:r>
        <w:rPr>
          <w:rFonts w:asciiTheme="majorHAnsi" w:hAnsiTheme="majorHAnsi"/>
          <w:sz w:val="18"/>
          <w:szCs w:val="18"/>
          <w:lang w:val="en-US"/>
        </w:rPr>
        <w:t xml:space="preserve">, 2012, </w:t>
      </w:r>
      <w:proofErr w:type="spellStart"/>
      <w:r>
        <w:rPr>
          <w:rFonts w:asciiTheme="majorHAnsi" w:hAnsiTheme="majorHAnsi"/>
          <w:sz w:val="18"/>
          <w:szCs w:val="18"/>
          <w:lang w:val="en-US"/>
        </w:rPr>
        <w:t>Op.cit</w:t>
      </w:r>
      <w:proofErr w:type="spellEnd"/>
      <w:proofErr w:type="gramStart"/>
      <w:r>
        <w:rPr>
          <w:rFonts w:asciiTheme="majorHAnsi" w:hAnsiTheme="majorHAnsi"/>
          <w:sz w:val="18"/>
          <w:szCs w:val="18"/>
          <w:lang w:val="en-US"/>
        </w:rPr>
        <w:t>.,</w:t>
      </w:r>
      <w:proofErr w:type="gramEnd"/>
      <w:r>
        <w:rPr>
          <w:rFonts w:asciiTheme="majorHAnsi" w:hAnsiTheme="majorHAnsi"/>
          <w:sz w:val="18"/>
          <w:szCs w:val="18"/>
          <w:lang w:val="en-US"/>
        </w:rPr>
        <w:t xml:space="preserve"> p.18</w:t>
      </w:r>
    </w:p>
  </w:footnote>
  <w:footnote w:id="23">
    <w:p w14:paraId="4C2E5022" w14:textId="6C33018F" w:rsidR="006E0B44" w:rsidRPr="00B93841" w:rsidRDefault="006E0B44">
      <w:pPr>
        <w:pStyle w:val="FootnoteText"/>
        <w:rPr>
          <w:rFonts w:asciiTheme="majorHAnsi" w:hAnsiTheme="majorHAnsi"/>
          <w:sz w:val="18"/>
          <w:szCs w:val="18"/>
          <w:lang w:val="en-US"/>
        </w:rPr>
      </w:pPr>
      <w:r>
        <w:rPr>
          <w:rStyle w:val="FootnoteReference"/>
        </w:rPr>
        <w:footnoteRef/>
      </w:r>
      <w:r>
        <w:t xml:space="preserve"> </w:t>
      </w:r>
      <w:r w:rsidRPr="00B93841">
        <w:rPr>
          <w:rFonts w:asciiTheme="majorHAnsi" w:hAnsiTheme="majorHAnsi"/>
          <w:sz w:val="18"/>
          <w:szCs w:val="18"/>
          <w:lang w:val="fr-FR"/>
        </w:rPr>
        <w:t>Différentes versions de cette typologie et les deux autres schémas ont été présentés lors de diverses conférences tout au long de 2014 et 2015 et avec des groupes et des chercheurs travaillant sur la liberté d'expression et les discours de haine, notamment les collègues impliqués dans un projet par le Bureau des Nations Unies pour la prévention des génocides, sur le rôle des chefs religieux dans la prévention et la réponse à l'incitation à la violence.</w:t>
      </w:r>
    </w:p>
  </w:footnote>
  <w:footnote w:id="24">
    <w:p w14:paraId="4523F288" w14:textId="0F1C2673" w:rsidR="006E0B44" w:rsidRPr="001401D1" w:rsidRDefault="006E0B44" w:rsidP="00A76BFE">
      <w:pPr>
        <w:pStyle w:val="FootnoteText"/>
        <w:rPr>
          <w:rFonts w:asciiTheme="majorHAnsi" w:hAnsiTheme="majorHAnsi"/>
          <w:sz w:val="18"/>
          <w:szCs w:val="18"/>
          <w:lang w:val="en-US"/>
        </w:rPr>
      </w:pPr>
      <w:r w:rsidRPr="00A76BFE">
        <w:rPr>
          <w:rStyle w:val="FootnoteReference"/>
          <w:rFonts w:asciiTheme="majorHAnsi" w:hAnsiTheme="majorHAnsi"/>
          <w:sz w:val="18"/>
          <w:szCs w:val="18"/>
        </w:rPr>
        <w:footnoteRef/>
      </w:r>
      <w:r w:rsidRPr="00A76BFE">
        <w:rPr>
          <w:rFonts w:asciiTheme="majorHAnsi" w:hAnsiTheme="majorHAnsi"/>
          <w:sz w:val="18"/>
          <w:szCs w:val="18"/>
        </w:rPr>
        <w:t xml:space="preserve"> Base </w:t>
      </w:r>
      <w:proofErr w:type="spellStart"/>
      <w:r w:rsidRPr="00A76BFE">
        <w:rPr>
          <w:rFonts w:asciiTheme="majorHAnsi" w:hAnsiTheme="majorHAnsi"/>
          <w:sz w:val="18"/>
          <w:szCs w:val="18"/>
        </w:rPr>
        <w:t>sur</w:t>
      </w:r>
      <w:proofErr w:type="spellEnd"/>
      <w:r w:rsidRPr="00A76BFE">
        <w:rPr>
          <w:rFonts w:asciiTheme="majorHAnsi" w:hAnsiTheme="majorHAnsi"/>
          <w:sz w:val="18"/>
          <w:szCs w:val="18"/>
        </w:rPr>
        <w:t xml:space="preserve">: </w:t>
      </w:r>
      <w:proofErr w:type="spellStart"/>
      <w:r w:rsidRPr="00A76BFE">
        <w:rPr>
          <w:rFonts w:asciiTheme="majorHAnsi" w:hAnsiTheme="majorHAnsi"/>
          <w:sz w:val="18"/>
          <w:szCs w:val="18"/>
        </w:rPr>
        <w:t>Jeroen</w:t>
      </w:r>
      <w:proofErr w:type="spellEnd"/>
      <w:r w:rsidRPr="00A76BFE">
        <w:rPr>
          <w:rFonts w:asciiTheme="majorHAnsi" w:hAnsiTheme="majorHAnsi"/>
          <w:sz w:val="18"/>
          <w:szCs w:val="18"/>
        </w:rPr>
        <w:t xml:space="preserve"> </w:t>
      </w:r>
      <w:proofErr w:type="spellStart"/>
      <w:r w:rsidRPr="00A76BFE">
        <w:rPr>
          <w:rFonts w:asciiTheme="majorHAnsi" w:hAnsiTheme="majorHAnsi"/>
          <w:sz w:val="18"/>
          <w:szCs w:val="18"/>
        </w:rPr>
        <w:t>Temperman</w:t>
      </w:r>
      <w:proofErr w:type="spellEnd"/>
      <w:r w:rsidRPr="00A76BFE">
        <w:rPr>
          <w:rFonts w:asciiTheme="majorHAnsi" w:hAnsiTheme="majorHAnsi"/>
          <w:sz w:val="18"/>
          <w:szCs w:val="18"/>
        </w:rPr>
        <w:t xml:space="preserve">, “Blasphemy versus Incitement – An International Law perspective” </w:t>
      </w:r>
      <w:r w:rsidRPr="00A76BFE">
        <w:rPr>
          <w:rFonts w:asciiTheme="majorHAnsi" w:hAnsiTheme="majorHAnsi" w:cs="Verdana"/>
          <w:color w:val="1F1F1F"/>
          <w:sz w:val="18"/>
          <w:szCs w:val="18"/>
        </w:rPr>
        <w:t xml:space="preserve">in: Christopher </w:t>
      </w:r>
      <w:proofErr w:type="spellStart"/>
      <w:r w:rsidRPr="00A76BFE">
        <w:rPr>
          <w:rFonts w:asciiTheme="majorHAnsi" w:hAnsiTheme="majorHAnsi" w:cs="Verdana"/>
          <w:color w:val="1F1F1F"/>
          <w:sz w:val="18"/>
          <w:szCs w:val="18"/>
        </w:rPr>
        <w:t>Beneke</w:t>
      </w:r>
      <w:proofErr w:type="spellEnd"/>
      <w:r w:rsidRPr="00A76BFE">
        <w:rPr>
          <w:rFonts w:asciiTheme="majorHAnsi" w:hAnsiTheme="majorHAnsi" w:cs="Verdana"/>
          <w:color w:val="1F1F1F"/>
          <w:sz w:val="18"/>
          <w:szCs w:val="18"/>
        </w:rPr>
        <w:t xml:space="preserve">, Christopher </w:t>
      </w:r>
      <w:proofErr w:type="spellStart"/>
      <w:r w:rsidRPr="00A76BFE">
        <w:rPr>
          <w:rFonts w:asciiTheme="majorHAnsi" w:hAnsiTheme="majorHAnsi" w:cs="Verdana"/>
          <w:color w:val="1F1F1F"/>
          <w:sz w:val="18"/>
          <w:szCs w:val="18"/>
        </w:rPr>
        <w:t>Grenda</w:t>
      </w:r>
      <w:proofErr w:type="spellEnd"/>
      <w:r w:rsidRPr="00A76BFE">
        <w:rPr>
          <w:rFonts w:asciiTheme="majorHAnsi" w:hAnsiTheme="majorHAnsi" w:cs="Verdana"/>
          <w:color w:val="1F1F1F"/>
          <w:sz w:val="18"/>
          <w:szCs w:val="18"/>
        </w:rPr>
        <w:t xml:space="preserve"> and David Nash (eds.), </w:t>
      </w:r>
      <w:r w:rsidRPr="00A76BFE">
        <w:rPr>
          <w:rFonts w:asciiTheme="majorHAnsi" w:hAnsiTheme="majorHAnsi" w:cs="Verdana"/>
          <w:i/>
          <w:iCs/>
          <w:color w:val="1F1F1F"/>
          <w:sz w:val="18"/>
          <w:szCs w:val="18"/>
        </w:rPr>
        <w:t>Profane: Sacrilegious Expression in a Multicultural Age</w:t>
      </w:r>
      <w:r w:rsidRPr="00A76BFE">
        <w:rPr>
          <w:rFonts w:asciiTheme="majorHAnsi" w:hAnsiTheme="majorHAnsi" w:cs="Verdana"/>
          <w:color w:val="1F1F1F"/>
          <w:sz w:val="18"/>
          <w:szCs w:val="18"/>
        </w:rPr>
        <w:t xml:space="preserve"> (University of California Press, 2014), pp. 401–425.</w:t>
      </w:r>
    </w:p>
    <w:p w14:paraId="4B9EA80D" w14:textId="7A771314" w:rsidR="006E0B44" w:rsidRPr="0079321B" w:rsidRDefault="006E0B44" w:rsidP="002E501A">
      <w:pPr>
        <w:pStyle w:val="FootnoteText"/>
        <w:rPr>
          <w:rFonts w:asciiTheme="majorHAnsi" w:hAnsiTheme="majorHAnsi"/>
          <w:sz w:val="18"/>
          <w:szCs w:val="18"/>
          <w:lang w:val="en-US"/>
        </w:rPr>
      </w:pPr>
    </w:p>
  </w:footnote>
  <w:footnote w:id="25">
    <w:p w14:paraId="30BF4A1E" w14:textId="77777777" w:rsidR="006E0B44" w:rsidRPr="00674228" w:rsidRDefault="006E0B44" w:rsidP="00D17A1A">
      <w:pPr>
        <w:pStyle w:val="FootnoteText"/>
        <w:rPr>
          <w:rFonts w:asciiTheme="majorHAnsi" w:hAnsiTheme="majorHAnsi"/>
          <w:sz w:val="18"/>
          <w:szCs w:val="18"/>
          <w:lang w:val="fr-FR"/>
        </w:rPr>
      </w:pPr>
      <w:r w:rsidRPr="009C57C2">
        <w:rPr>
          <w:rStyle w:val="FootnoteReference"/>
          <w:rFonts w:asciiTheme="majorHAnsi" w:hAnsiTheme="majorHAnsi"/>
          <w:sz w:val="18"/>
          <w:szCs w:val="18"/>
        </w:rPr>
        <w:footnoteRef/>
      </w:r>
      <w:r w:rsidRPr="00674228">
        <w:rPr>
          <w:rFonts w:asciiTheme="majorHAnsi" w:hAnsiTheme="majorHAnsi"/>
          <w:sz w:val="18"/>
          <w:szCs w:val="18"/>
          <w:lang w:val="fr-FR"/>
        </w:rPr>
        <w:t xml:space="preserve"> Il existe un débat portant sur l’effet de l’incitation et si elle peut également amener l’auditeur à “penser” d’une certaine façon. </w:t>
      </w:r>
    </w:p>
  </w:footnote>
  <w:footnote w:id="26">
    <w:p w14:paraId="358B3DBC" w14:textId="77777777" w:rsidR="006E0B44" w:rsidRPr="00674228" w:rsidRDefault="006E0B44" w:rsidP="00E302C3">
      <w:pPr>
        <w:pStyle w:val="FootnoteText"/>
        <w:rPr>
          <w:rFonts w:asciiTheme="majorHAnsi" w:hAnsiTheme="majorHAnsi"/>
          <w:sz w:val="18"/>
          <w:szCs w:val="18"/>
          <w:lang w:val="fr-FR"/>
        </w:rPr>
      </w:pPr>
      <w:r w:rsidRPr="0079455F">
        <w:rPr>
          <w:rStyle w:val="FootnoteReference"/>
          <w:rFonts w:asciiTheme="majorHAnsi" w:hAnsiTheme="majorHAnsi"/>
          <w:sz w:val="18"/>
          <w:szCs w:val="18"/>
        </w:rPr>
        <w:footnoteRef/>
      </w:r>
      <w:r w:rsidRPr="00674228">
        <w:rPr>
          <w:rFonts w:asciiTheme="majorHAnsi" w:hAnsiTheme="majorHAnsi"/>
          <w:sz w:val="18"/>
          <w:szCs w:val="18"/>
          <w:lang w:val="fr-FR"/>
        </w:rPr>
        <w:t xml:space="preserve"> Voir le Plan d’action de Rabat, OHCHR</w:t>
      </w:r>
    </w:p>
  </w:footnote>
  <w:footnote w:id="27">
    <w:p w14:paraId="39CC3129" w14:textId="77777777" w:rsidR="006E0B44" w:rsidRPr="00674228" w:rsidRDefault="006E0B44" w:rsidP="00EE0619">
      <w:pPr>
        <w:pStyle w:val="FootnoteText"/>
        <w:jc w:val="both"/>
        <w:rPr>
          <w:sz w:val="18"/>
          <w:szCs w:val="18"/>
          <w:lang w:val="fr-FR"/>
        </w:rPr>
      </w:pPr>
      <w:r w:rsidRPr="00913921">
        <w:rPr>
          <w:rStyle w:val="FootnoteReference"/>
          <w:sz w:val="18"/>
          <w:szCs w:val="18"/>
        </w:rPr>
        <w:footnoteRef/>
      </w:r>
      <w:r w:rsidRPr="00674228">
        <w:rPr>
          <w:sz w:val="18"/>
          <w:szCs w:val="18"/>
          <w:lang w:val="fr-FR"/>
        </w:rPr>
        <w:t xml:space="preserve"> Principes de </w:t>
      </w:r>
      <w:r w:rsidRPr="00674228">
        <w:rPr>
          <w:i/>
          <w:sz w:val="18"/>
          <w:szCs w:val="18"/>
          <w:lang w:val="fr-FR"/>
        </w:rPr>
        <w:t xml:space="preserve">Johannesburg, </w:t>
      </w:r>
      <w:r w:rsidRPr="00674228">
        <w:rPr>
          <w:sz w:val="18"/>
          <w:szCs w:val="18"/>
          <w:lang w:val="fr-FR"/>
        </w:rPr>
        <w:t xml:space="preserve"> </w:t>
      </w:r>
      <w:r w:rsidRPr="00674228">
        <w:rPr>
          <w:i/>
          <w:sz w:val="18"/>
          <w:szCs w:val="18"/>
          <w:lang w:val="fr-FR"/>
        </w:rPr>
        <w:t xml:space="preserve">supra </w:t>
      </w:r>
      <w:r w:rsidRPr="00674228">
        <w:rPr>
          <w:sz w:val="18"/>
          <w:szCs w:val="18"/>
          <w:lang w:val="fr-FR"/>
        </w:rPr>
        <w:t>note 221, Principe 2(a).</w:t>
      </w:r>
    </w:p>
  </w:footnote>
  <w:footnote w:id="28">
    <w:p w14:paraId="6986BFE5" w14:textId="77777777" w:rsidR="006E0B44" w:rsidRPr="00913921" w:rsidRDefault="006E0B44" w:rsidP="00EE0619">
      <w:pPr>
        <w:pStyle w:val="FootnoteText"/>
        <w:jc w:val="both"/>
        <w:rPr>
          <w:sz w:val="18"/>
          <w:szCs w:val="18"/>
          <w:lang w:val="en-US"/>
        </w:rPr>
      </w:pPr>
      <w:r w:rsidRPr="004E3604">
        <w:rPr>
          <w:rStyle w:val="FootnoteReference"/>
          <w:sz w:val="18"/>
          <w:szCs w:val="18"/>
        </w:rPr>
        <w:footnoteRef/>
      </w:r>
      <w:r w:rsidRPr="004E3604">
        <w:rPr>
          <w:sz w:val="18"/>
          <w:szCs w:val="18"/>
          <w:lang w:val="en-US"/>
        </w:rPr>
        <w:t xml:space="preserve"> </w:t>
      </w:r>
      <w:proofErr w:type="gramStart"/>
      <w:r w:rsidRPr="004E3604">
        <w:rPr>
          <w:i/>
          <w:sz w:val="18"/>
          <w:szCs w:val="18"/>
          <w:lang w:val="en-US"/>
        </w:rPr>
        <w:t>Id.</w:t>
      </w:r>
      <w:r w:rsidRPr="004E3604">
        <w:rPr>
          <w:sz w:val="18"/>
          <w:szCs w:val="18"/>
        </w:rPr>
        <w:t>,</w:t>
      </w:r>
      <w:r w:rsidRPr="004E3604">
        <w:rPr>
          <w:sz w:val="18"/>
          <w:szCs w:val="18"/>
          <w:lang w:val="en-US"/>
        </w:rPr>
        <w:t xml:space="preserve"> Princip</w:t>
      </w:r>
      <w:r>
        <w:rPr>
          <w:sz w:val="18"/>
          <w:szCs w:val="18"/>
          <w:lang w:val="en-US"/>
        </w:rPr>
        <w:t>e</w:t>
      </w:r>
      <w:r w:rsidRPr="004E3604">
        <w:rPr>
          <w:sz w:val="18"/>
          <w:szCs w:val="18"/>
          <w:lang w:val="en-US"/>
        </w:rPr>
        <w:t xml:space="preserve"> 2(b).</w:t>
      </w:r>
      <w:proofErr w:type="gramEnd"/>
    </w:p>
  </w:footnote>
  <w:footnote w:id="29">
    <w:p w14:paraId="717C9166" w14:textId="77777777" w:rsidR="006E0B44" w:rsidRPr="000B0A10" w:rsidRDefault="006E0B44" w:rsidP="000D187E">
      <w:pPr>
        <w:pStyle w:val="FootnoteText"/>
        <w:ind w:left="180" w:hanging="180"/>
        <w:rPr>
          <w:rFonts w:asciiTheme="majorHAnsi" w:hAnsiTheme="majorHAnsi" w:cstheme="majorBidi"/>
          <w:sz w:val="18"/>
          <w:szCs w:val="18"/>
          <w:lang w:val="en-US"/>
        </w:rPr>
      </w:pPr>
      <w:r w:rsidRPr="000B0A10">
        <w:rPr>
          <w:rStyle w:val="FootnoteReference"/>
          <w:rFonts w:asciiTheme="majorHAnsi" w:hAnsiTheme="majorHAnsi" w:cstheme="majorBidi"/>
          <w:sz w:val="18"/>
          <w:szCs w:val="18"/>
        </w:rPr>
        <w:footnoteRef/>
      </w:r>
      <w:r w:rsidRPr="000B0A10">
        <w:rPr>
          <w:rFonts w:asciiTheme="majorHAnsi" w:hAnsiTheme="majorHAnsi" w:cstheme="majorBidi"/>
          <w:sz w:val="18"/>
          <w:szCs w:val="18"/>
        </w:rPr>
        <w:t xml:space="preserve"> Human Rights Watch, ‘In the Name of Security: Counterterrorism Laws Worldwide since September 11’ (2012), </w:t>
      </w:r>
      <w:proofErr w:type="spellStart"/>
      <w:r>
        <w:rPr>
          <w:rFonts w:asciiTheme="majorHAnsi" w:hAnsiTheme="majorHAnsi" w:cstheme="majorBidi"/>
          <w:sz w:val="18"/>
          <w:szCs w:val="18"/>
        </w:rPr>
        <w:t>disposnible</w:t>
      </w:r>
      <w:proofErr w:type="spellEnd"/>
      <w:r>
        <w:rPr>
          <w:rFonts w:asciiTheme="majorHAnsi" w:hAnsiTheme="majorHAnsi" w:cstheme="majorBidi"/>
          <w:sz w:val="18"/>
          <w:szCs w:val="18"/>
        </w:rPr>
        <w:t xml:space="preserve"> à </w:t>
      </w:r>
      <w:proofErr w:type="gramStart"/>
      <w:r>
        <w:rPr>
          <w:rFonts w:asciiTheme="majorHAnsi" w:hAnsiTheme="majorHAnsi" w:cstheme="majorBidi"/>
          <w:sz w:val="18"/>
          <w:szCs w:val="18"/>
        </w:rPr>
        <w:t>travers</w:t>
      </w:r>
      <w:proofErr w:type="gramEnd"/>
      <w:r>
        <w:rPr>
          <w:rFonts w:asciiTheme="majorHAnsi" w:hAnsiTheme="majorHAnsi" w:cstheme="majorBidi"/>
          <w:sz w:val="18"/>
          <w:szCs w:val="18"/>
        </w:rPr>
        <w:t xml:space="preserve"> le lien </w:t>
      </w:r>
      <w:proofErr w:type="spellStart"/>
      <w:r>
        <w:rPr>
          <w:rFonts w:asciiTheme="majorHAnsi" w:hAnsiTheme="majorHAnsi" w:cstheme="majorBidi"/>
          <w:sz w:val="18"/>
          <w:szCs w:val="18"/>
        </w:rPr>
        <w:t>suivant</w:t>
      </w:r>
      <w:proofErr w:type="spellEnd"/>
      <w:r>
        <w:rPr>
          <w:rFonts w:asciiTheme="majorHAnsi" w:hAnsiTheme="majorHAnsi" w:cstheme="majorBidi"/>
          <w:sz w:val="18"/>
          <w:szCs w:val="18"/>
        </w:rPr>
        <w:t>:</w:t>
      </w:r>
      <w:r w:rsidRPr="000B0A10">
        <w:rPr>
          <w:rFonts w:asciiTheme="majorHAnsi" w:hAnsiTheme="majorHAnsi" w:cstheme="majorBidi"/>
          <w:sz w:val="18"/>
          <w:szCs w:val="18"/>
        </w:rPr>
        <w:t xml:space="preserve"> &lt;https://www.hrw.org/report/2012/06/29/name-security/counterterrorism-laws-worldwide-september-11&gt;.</w:t>
      </w:r>
    </w:p>
  </w:footnote>
  <w:footnote w:id="30">
    <w:p w14:paraId="52E2F4C2" w14:textId="77777777" w:rsidR="006E0B44" w:rsidRPr="000B0A10" w:rsidRDefault="006E0B44" w:rsidP="0034695E">
      <w:pPr>
        <w:pStyle w:val="FootnoteText"/>
        <w:rPr>
          <w:rFonts w:asciiTheme="majorHAnsi" w:hAnsiTheme="majorHAnsi" w:cstheme="majorBidi"/>
          <w:sz w:val="18"/>
          <w:szCs w:val="18"/>
          <w:lang w:val="en-US"/>
        </w:rPr>
      </w:pPr>
      <w:r w:rsidRPr="000B0A10">
        <w:rPr>
          <w:rStyle w:val="FootnoteReference"/>
          <w:rFonts w:asciiTheme="majorHAnsi" w:hAnsiTheme="majorHAnsi" w:cstheme="majorBidi"/>
          <w:sz w:val="18"/>
          <w:szCs w:val="18"/>
        </w:rPr>
        <w:footnoteRef/>
      </w:r>
      <w:r w:rsidRPr="000B0A10">
        <w:rPr>
          <w:rFonts w:asciiTheme="majorHAnsi" w:hAnsiTheme="majorHAnsi" w:cstheme="majorBidi"/>
          <w:sz w:val="18"/>
          <w:szCs w:val="18"/>
        </w:rPr>
        <w:t xml:space="preserve"> </w:t>
      </w:r>
      <w:r w:rsidRPr="000B0A10">
        <w:rPr>
          <w:rFonts w:asciiTheme="majorHAnsi" w:hAnsiTheme="majorHAnsi" w:cstheme="majorBidi"/>
          <w:i/>
          <w:sz w:val="18"/>
          <w:szCs w:val="18"/>
        </w:rPr>
        <w:t>Ibid</w:t>
      </w:r>
      <w:proofErr w:type="gramStart"/>
      <w:r w:rsidRPr="000B0A10">
        <w:rPr>
          <w:rFonts w:asciiTheme="majorHAnsi" w:hAnsiTheme="majorHAnsi" w:cstheme="majorBidi"/>
          <w:sz w:val="18"/>
          <w:szCs w:val="18"/>
        </w:rPr>
        <w:t>.,</w:t>
      </w:r>
      <w:proofErr w:type="gramEnd"/>
      <w:r w:rsidRPr="000B0A10">
        <w:rPr>
          <w:rFonts w:asciiTheme="majorHAnsi" w:hAnsiTheme="majorHAnsi" w:cstheme="majorBidi"/>
          <w:sz w:val="18"/>
          <w:szCs w:val="18"/>
        </w:rPr>
        <w:t xml:space="preserve"> </w:t>
      </w:r>
      <w:r w:rsidRPr="000B0A10">
        <w:rPr>
          <w:rFonts w:asciiTheme="majorHAnsi" w:hAnsiTheme="majorHAnsi" w:cstheme="majorBidi"/>
          <w:sz w:val="18"/>
          <w:szCs w:val="18"/>
          <w:lang w:val="en-US"/>
        </w:rPr>
        <w:t>p.38</w:t>
      </w:r>
    </w:p>
  </w:footnote>
  <w:footnote w:id="31">
    <w:p w14:paraId="67D4964F" w14:textId="77777777" w:rsidR="006E0B44" w:rsidRPr="000B0A10" w:rsidRDefault="006E0B44" w:rsidP="000D187E">
      <w:pPr>
        <w:pStyle w:val="FootnoteText"/>
        <w:rPr>
          <w:rFonts w:asciiTheme="majorHAnsi" w:hAnsiTheme="majorHAnsi" w:cstheme="majorBidi"/>
          <w:sz w:val="18"/>
          <w:szCs w:val="18"/>
          <w:lang w:val="en-US"/>
        </w:rPr>
      </w:pPr>
      <w:r w:rsidRPr="000B0A10">
        <w:rPr>
          <w:rStyle w:val="FootnoteReference"/>
          <w:rFonts w:asciiTheme="majorHAnsi" w:hAnsiTheme="majorHAnsi" w:cstheme="majorBidi"/>
          <w:sz w:val="18"/>
          <w:szCs w:val="18"/>
        </w:rPr>
        <w:footnoteRef/>
      </w:r>
      <w:r w:rsidRPr="000B0A10">
        <w:rPr>
          <w:rFonts w:asciiTheme="majorHAnsi" w:hAnsiTheme="majorHAnsi" w:cstheme="majorBidi"/>
          <w:sz w:val="18"/>
          <w:szCs w:val="18"/>
        </w:rPr>
        <w:t xml:space="preserve"> </w:t>
      </w:r>
      <w:r w:rsidRPr="000B0A10">
        <w:rPr>
          <w:rFonts w:asciiTheme="majorHAnsi" w:hAnsiTheme="majorHAnsi" w:cstheme="majorBidi"/>
          <w:sz w:val="18"/>
          <w:szCs w:val="18"/>
          <w:lang w:val="en-US"/>
        </w:rPr>
        <w:t xml:space="preserve">ARTICLE 19, ‘Amendments to Extremist Legislation further restricts freedom of expression’ (19 </w:t>
      </w:r>
      <w:proofErr w:type="spellStart"/>
      <w:r w:rsidRPr="000B0A10">
        <w:rPr>
          <w:rFonts w:asciiTheme="majorHAnsi" w:hAnsiTheme="majorHAnsi" w:cstheme="majorBidi"/>
          <w:sz w:val="18"/>
          <w:szCs w:val="18"/>
          <w:lang w:val="en-US"/>
        </w:rPr>
        <w:t>J</w:t>
      </w:r>
      <w:r>
        <w:rPr>
          <w:rFonts w:asciiTheme="majorHAnsi" w:hAnsiTheme="majorHAnsi" w:cstheme="majorBidi"/>
          <w:sz w:val="18"/>
          <w:szCs w:val="18"/>
          <w:lang w:val="en-US"/>
        </w:rPr>
        <w:t>uillet</w:t>
      </w:r>
      <w:proofErr w:type="spellEnd"/>
      <w:r w:rsidRPr="000B0A10">
        <w:rPr>
          <w:rFonts w:asciiTheme="majorHAnsi" w:hAnsiTheme="majorHAnsi" w:cstheme="majorBidi"/>
          <w:sz w:val="18"/>
          <w:szCs w:val="18"/>
          <w:lang w:val="en-US"/>
        </w:rPr>
        <w:t xml:space="preserve"> 2007), </w:t>
      </w:r>
      <w:proofErr w:type="spellStart"/>
      <w:r>
        <w:rPr>
          <w:rFonts w:asciiTheme="majorHAnsi" w:hAnsiTheme="majorHAnsi" w:cstheme="majorBidi"/>
          <w:sz w:val="18"/>
          <w:szCs w:val="18"/>
        </w:rPr>
        <w:t>disposnible</w:t>
      </w:r>
      <w:proofErr w:type="spellEnd"/>
      <w:r>
        <w:rPr>
          <w:rFonts w:asciiTheme="majorHAnsi" w:hAnsiTheme="majorHAnsi" w:cstheme="majorBidi"/>
          <w:sz w:val="18"/>
          <w:szCs w:val="18"/>
        </w:rPr>
        <w:t xml:space="preserve"> à </w:t>
      </w:r>
      <w:proofErr w:type="gramStart"/>
      <w:r>
        <w:rPr>
          <w:rFonts w:asciiTheme="majorHAnsi" w:hAnsiTheme="majorHAnsi" w:cstheme="majorBidi"/>
          <w:sz w:val="18"/>
          <w:szCs w:val="18"/>
        </w:rPr>
        <w:t>travers</w:t>
      </w:r>
      <w:proofErr w:type="gramEnd"/>
      <w:r>
        <w:rPr>
          <w:rFonts w:asciiTheme="majorHAnsi" w:hAnsiTheme="majorHAnsi" w:cstheme="majorBidi"/>
          <w:sz w:val="18"/>
          <w:szCs w:val="18"/>
        </w:rPr>
        <w:t xml:space="preserve"> le lien </w:t>
      </w:r>
      <w:proofErr w:type="spellStart"/>
      <w:r>
        <w:rPr>
          <w:rFonts w:asciiTheme="majorHAnsi" w:hAnsiTheme="majorHAnsi" w:cstheme="majorBidi"/>
          <w:sz w:val="18"/>
          <w:szCs w:val="18"/>
        </w:rPr>
        <w:t>suivant</w:t>
      </w:r>
      <w:proofErr w:type="spellEnd"/>
      <w:r>
        <w:rPr>
          <w:rFonts w:asciiTheme="majorHAnsi" w:hAnsiTheme="majorHAnsi" w:cstheme="majorBidi"/>
          <w:sz w:val="18"/>
          <w:szCs w:val="18"/>
        </w:rPr>
        <w:t>:</w:t>
      </w:r>
      <w:r w:rsidRPr="000B0A10">
        <w:rPr>
          <w:rFonts w:asciiTheme="majorHAnsi" w:hAnsiTheme="majorHAnsi" w:cstheme="majorBidi"/>
          <w:sz w:val="18"/>
          <w:szCs w:val="18"/>
        </w:rPr>
        <w:t xml:space="preserve"> </w:t>
      </w:r>
      <w:r w:rsidRPr="000B0A10">
        <w:rPr>
          <w:rFonts w:asciiTheme="majorHAnsi" w:hAnsiTheme="majorHAnsi" w:cstheme="majorBidi"/>
          <w:sz w:val="18"/>
          <w:szCs w:val="18"/>
          <w:lang w:val="en-US"/>
        </w:rPr>
        <w:t>&lt;https://www.article19.org/data/files/pdfs/press/russia-foe-violations-pr.pdf&gt;.</w:t>
      </w:r>
    </w:p>
  </w:footnote>
  <w:footnote w:id="32">
    <w:p w14:paraId="61973AC0" w14:textId="77777777" w:rsidR="006E0B44" w:rsidRPr="0047018F" w:rsidRDefault="006E0B44" w:rsidP="00656CFD">
      <w:pPr>
        <w:pStyle w:val="FootnoteText"/>
        <w:rPr>
          <w:rFonts w:asciiTheme="majorHAnsi" w:hAnsiTheme="majorHAnsi"/>
          <w:sz w:val="18"/>
          <w:szCs w:val="18"/>
          <w:lang w:val="en-US"/>
        </w:rPr>
      </w:pPr>
      <w:r w:rsidRPr="0047018F">
        <w:rPr>
          <w:rStyle w:val="FootnoteReference"/>
          <w:rFonts w:asciiTheme="majorHAnsi" w:hAnsiTheme="majorHAnsi"/>
          <w:sz w:val="18"/>
          <w:szCs w:val="18"/>
        </w:rPr>
        <w:footnoteRef/>
      </w:r>
      <w:r w:rsidRPr="0047018F">
        <w:rPr>
          <w:rFonts w:asciiTheme="majorHAnsi" w:hAnsiTheme="majorHAnsi"/>
          <w:sz w:val="18"/>
          <w:szCs w:val="18"/>
        </w:rPr>
        <w:t xml:space="preserve"> https://en.wikipedia.org/wiki/New_York_Times_Co._v._United_States</w:t>
      </w:r>
    </w:p>
  </w:footnote>
  <w:footnote w:id="33">
    <w:p w14:paraId="01B5C0BB" w14:textId="77777777" w:rsidR="006E0B44" w:rsidRPr="00674228" w:rsidRDefault="006E0B44" w:rsidP="00EA025F">
      <w:pPr>
        <w:pStyle w:val="FootnoteText"/>
        <w:rPr>
          <w:rFonts w:asciiTheme="majorHAnsi" w:hAnsiTheme="majorHAnsi"/>
          <w:sz w:val="18"/>
          <w:szCs w:val="18"/>
          <w:lang w:val="fr-FR"/>
        </w:rPr>
      </w:pPr>
      <w:r w:rsidRPr="00806429">
        <w:rPr>
          <w:rStyle w:val="FootnoteReference"/>
          <w:rFonts w:asciiTheme="majorHAnsi" w:hAnsiTheme="majorHAnsi"/>
          <w:sz w:val="18"/>
          <w:szCs w:val="18"/>
        </w:rPr>
        <w:footnoteRef/>
      </w:r>
      <w:r w:rsidRPr="00674228">
        <w:rPr>
          <w:rFonts w:asciiTheme="majorHAnsi" w:hAnsiTheme="majorHAnsi"/>
          <w:sz w:val="18"/>
          <w:szCs w:val="18"/>
          <w:lang w:val="fr-FR"/>
        </w:rPr>
        <w:t xml:space="preserve">  </w:t>
      </w:r>
      <w:r w:rsidRPr="00674228">
        <w:rPr>
          <w:rFonts w:asciiTheme="majorHAnsi" w:hAnsiTheme="majorHAnsi" w:cs="Verdana"/>
          <w:color w:val="171717"/>
          <w:sz w:val="18"/>
          <w:szCs w:val="18"/>
          <w:lang w:val="fr-FR"/>
        </w:rPr>
        <w:t>8 juillet 1999, Recours No. 24246/94 (Cour européenne des droits de l’homme)</w:t>
      </w:r>
      <w:r w:rsidRPr="00674228">
        <w:rPr>
          <w:rFonts w:asciiTheme="majorHAnsi" w:hAnsiTheme="majorHAnsi"/>
          <w:sz w:val="18"/>
          <w:szCs w:val="18"/>
          <w:lang w:val="fr-FR"/>
        </w:rPr>
        <w:t xml:space="preserve"> Résumé fait par ARTICLE 19</w:t>
      </w:r>
      <w:proofErr w:type="gramStart"/>
      <w:r w:rsidRPr="00674228">
        <w:rPr>
          <w:rFonts w:asciiTheme="majorHAnsi" w:hAnsiTheme="majorHAnsi"/>
          <w:sz w:val="18"/>
          <w:szCs w:val="18"/>
          <w:lang w:val="fr-FR"/>
        </w:rPr>
        <w:t>:  https</w:t>
      </w:r>
      <w:proofErr w:type="gramEnd"/>
      <w:r w:rsidRPr="00674228">
        <w:rPr>
          <w:rFonts w:asciiTheme="majorHAnsi" w:hAnsiTheme="majorHAnsi"/>
          <w:sz w:val="18"/>
          <w:szCs w:val="18"/>
          <w:lang w:val="fr-FR"/>
        </w:rPr>
        <w:t>://www.article19.org/resources.php/resource/2610/en/okcuoglu-v.-turkey</w:t>
      </w:r>
    </w:p>
  </w:footnote>
  <w:footnote w:id="34">
    <w:p w14:paraId="34AF6568" w14:textId="77777777" w:rsidR="006E0B44" w:rsidRPr="00674228" w:rsidRDefault="006E0B44" w:rsidP="00EA025F">
      <w:pPr>
        <w:pStyle w:val="FootnoteText"/>
        <w:jc w:val="both"/>
        <w:rPr>
          <w:sz w:val="18"/>
          <w:szCs w:val="18"/>
          <w:lang w:val="fr-FR"/>
        </w:rPr>
      </w:pPr>
      <w:r w:rsidRPr="004E3604">
        <w:rPr>
          <w:rStyle w:val="FootnoteReference"/>
          <w:sz w:val="18"/>
          <w:szCs w:val="18"/>
        </w:rPr>
        <w:footnoteRef/>
      </w:r>
      <w:r w:rsidRPr="00674228">
        <w:rPr>
          <w:sz w:val="18"/>
          <w:szCs w:val="18"/>
          <w:lang w:val="fr-FR"/>
        </w:rPr>
        <w:t xml:space="preserve"> </w:t>
      </w:r>
      <w:proofErr w:type="spellStart"/>
      <w:r w:rsidRPr="00674228">
        <w:rPr>
          <w:sz w:val="18"/>
          <w:szCs w:val="18"/>
          <w:lang w:val="fr-FR"/>
        </w:rPr>
        <w:t>ECtHR</w:t>
      </w:r>
      <w:proofErr w:type="spellEnd"/>
      <w:r w:rsidRPr="00674228">
        <w:rPr>
          <w:sz w:val="18"/>
          <w:szCs w:val="18"/>
          <w:lang w:val="fr-FR"/>
        </w:rPr>
        <w:t xml:space="preserve">, </w:t>
      </w:r>
      <w:proofErr w:type="spellStart"/>
      <w:r w:rsidRPr="00674228">
        <w:rPr>
          <w:rStyle w:val="s7d2086b4"/>
          <w:i/>
          <w:sz w:val="18"/>
          <w:szCs w:val="18"/>
          <w:lang w:val="fr-FR"/>
        </w:rPr>
        <w:t>Okçuoğlu</w:t>
      </w:r>
      <w:proofErr w:type="spellEnd"/>
      <w:r w:rsidRPr="00674228">
        <w:rPr>
          <w:rStyle w:val="s7d2086b4"/>
          <w:i/>
          <w:sz w:val="18"/>
          <w:szCs w:val="18"/>
          <w:lang w:val="fr-FR"/>
        </w:rPr>
        <w:t xml:space="preserve"> c. Turquie</w:t>
      </w:r>
      <w:r w:rsidRPr="00674228">
        <w:rPr>
          <w:rStyle w:val="s7d2086b4"/>
          <w:sz w:val="18"/>
          <w:szCs w:val="18"/>
          <w:lang w:val="fr-FR"/>
        </w:rPr>
        <w:t xml:space="preserve">, </w:t>
      </w:r>
      <w:r w:rsidRPr="00674228">
        <w:rPr>
          <w:sz w:val="18"/>
          <w:szCs w:val="18"/>
          <w:lang w:val="fr-FR"/>
        </w:rPr>
        <w:t>Recours No. 24246/94 (1999).</w:t>
      </w:r>
    </w:p>
  </w:footnote>
  <w:footnote w:id="35">
    <w:p w14:paraId="47D20559" w14:textId="77777777" w:rsidR="006E0B44" w:rsidRDefault="006E0B44" w:rsidP="00B107FC">
      <w:pPr>
        <w:pStyle w:val="FootnoteText"/>
        <w:jc w:val="both"/>
      </w:pPr>
      <w:r>
        <w:rPr>
          <w:rStyle w:val="FootnoteReference"/>
        </w:rPr>
        <w:footnoteRef/>
      </w:r>
      <w:r>
        <w:t xml:space="preserve"> </w:t>
      </w:r>
      <w:r w:rsidRPr="00E56C73">
        <w:rPr>
          <w:i/>
          <w:sz w:val="18"/>
          <w:szCs w:val="18"/>
        </w:rPr>
        <w:t>Id.</w:t>
      </w:r>
    </w:p>
  </w:footnote>
  <w:footnote w:id="36">
    <w:p w14:paraId="5F240B82" w14:textId="033C446D" w:rsidR="006E0B44" w:rsidRPr="00674228" w:rsidRDefault="006E0B44" w:rsidP="0003035C">
      <w:pPr>
        <w:pStyle w:val="FootnoteText"/>
        <w:jc w:val="both"/>
        <w:rPr>
          <w:sz w:val="18"/>
          <w:szCs w:val="18"/>
          <w:lang w:val="fr-FR"/>
        </w:rPr>
      </w:pPr>
      <w:r w:rsidRPr="00E56C73">
        <w:rPr>
          <w:rStyle w:val="FootnoteReference"/>
          <w:sz w:val="18"/>
          <w:szCs w:val="18"/>
        </w:rPr>
        <w:footnoteRef/>
      </w:r>
      <w:r w:rsidRPr="00674228">
        <w:rPr>
          <w:sz w:val="18"/>
          <w:szCs w:val="18"/>
          <w:lang w:val="fr-FR"/>
        </w:rPr>
        <w:t xml:space="preserve"> </w:t>
      </w:r>
      <w:proofErr w:type="spellStart"/>
      <w:r w:rsidRPr="00674228">
        <w:rPr>
          <w:sz w:val="18"/>
          <w:szCs w:val="18"/>
          <w:lang w:val="fr-FR"/>
        </w:rPr>
        <w:t>ECtHR</w:t>
      </w:r>
      <w:proofErr w:type="spellEnd"/>
      <w:r w:rsidRPr="00674228">
        <w:rPr>
          <w:sz w:val="18"/>
          <w:szCs w:val="18"/>
          <w:lang w:val="fr-FR"/>
        </w:rPr>
        <w:t xml:space="preserve">, </w:t>
      </w:r>
      <w:r w:rsidRPr="00674228">
        <w:rPr>
          <w:i/>
          <w:sz w:val="18"/>
          <w:szCs w:val="18"/>
          <w:lang w:val="fr-FR"/>
        </w:rPr>
        <w:t>Observer et Guardian c. Royaume Uni</w:t>
      </w:r>
      <w:r w:rsidRPr="00674228">
        <w:rPr>
          <w:sz w:val="18"/>
          <w:szCs w:val="18"/>
          <w:lang w:val="fr-FR"/>
        </w:rPr>
        <w:t>, Recours No. 13585/88 (1991). Résumé fait par ARTICLE 19, disponible à travers le lien suivant: https://www.article19.org/resources.php/resource/3110/en/echr:-the-observer-and-guardian-v.-the-united-kingdom</w:t>
      </w:r>
    </w:p>
  </w:footnote>
  <w:footnote w:id="37">
    <w:p w14:paraId="04DA74D0" w14:textId="77777777" w:rsidR="006E0B44" w:rsidRPr="0072108D" w:rsidRDefault="006E0B44" w:rsidP="008D3A17">
      <w:pPr>
        <w:pStyle w:val="FootnoteText"/>
        <w:jc w:val="both"/>
        <w:rPr>
          <w:b/>
          <w:i/>
          <w:sz w:val="18"/>
        </w:rPr>
      </w:pPr>
      <w:r w:rsidRPr="00E56C73">
        <w:rPr>
          <w:rStyle w:val="FootnoteReference"/>
          <w:sz w:val="18"/>
          <w:szCs w:val="18"/>
        </w:rPr>
        <w:footnoteRef/>
      </w:r>
      <w:r w:rsidRPr="00E56C73">
        <w:rPr>
          <w:sz w:val="18"/>
          <w:szCs w:val="18"/>
        </w:rPr>
        <w:t xml:space="preserve"> </w:t>
      </w:r>
      <w:proofErr w:type="spellStart"/>
      <w:r>
        <w:rPr>
          <w:sz w:val="18"/>
          <w:szCs w:val="18"/>
        </w:rPr>
        <w:t>ECtHR</w:t>
      </w:r>
      <w:proofErr w:type="spellEnd"/>
      <w:r w:rsidRPr="00E56C73">
        <w:rPr>
          <w:sz w:val="18"/>
          <w:szCs w:val="18"/>
        </w:rPr>
        <w:t>,</w:t>
      </w:r>
      <w:r w:rsidRPr="00E56C73">
        <w:rPr>
          <w:i/>
          <w:sz w:val="18"/>
          <w:szCs w:val="18"/>
        </w:rPr>
        <w:t xml:space="preserve"> </w:t>
      </w:r>
      <w:proofErr w:type="spellStart"/>
      <w:r w:rsidRPr="00E56C73">
        <w:rPr>
          <w:i/>
          <w:sz w:val="18"/>
          <w:szCs w:val="18"/>
        </w:rPr>
        <w:t>Vereniging</w:t>
      </w:r>
      <w:proofErr w:type="spellEnd"/>
      <w:r w:rsidRPr="00E56C73">
        <w:rPr>
          <w:i/>
          <w:sz w:val="18"/>
          <w:szCs w:val="18"/>
        </w:rPr>
        <w:t xml:space="preserve"> </w:t>
      </w:r>
      <w:proofErr w:type="spellStart"/>
      <w:r w:rsidRPr="00E56C73">
        <w:rPr>
          <w:i/>
          <w:sz w:val="18"/>
          <w:szCs w:val="18"/>
        </w:rPr>
        <w:t>Weekblad</w:t>
      </w:r>
      <w:proofErr w:type="spellEnd"/>
      <w:r w:rsidRPr="00E56C73">
        <w:rPr>
          <w:i/>
          <w:sz w:val="18"/>
          <w:szCs w:val="18"/>
        </w:rPr>
        <w:t xml:space="preserve"> </w:t>
      </w:r>
      <w:proofErr w:type="spellStart"/>
      <w:r w:rsidRPr="0072108D">
        <w:rPr>
          <w:i/>
          <w:sz w:val="18"/>
        </w:rPr>
        <w:t>Bluf</w:t>
      </w:r>
      <w:proofErr w:type="spellEnd"/>
      <w:r w:rsidRPr="0072108D">
        <w:rPr>
          <w:i/>
          <w:sz w:val="18"/>
        </w:rPr>
        <w:t>!</w:t>
      </w:r>
      <w:r w:rsidRPr="00E56C73">
        <w:rPr>
          <w:i/>
          <w:sz w:val="18"/>
          <w:szCs w:val="18"/>
        </w:rPr>
        <w:t xml:space="preserve"> </w:t>
      </w:r>
      <w:r>
        <w:rPr>
          <w:i/>
          <w:sz w:val="18"/>
          <w:szCs w:val="18"/>
        </w:rPr>
        <w:t>c</w:t>
      </w:r>
      <w:r w:rsidRPr="00E56C73">
        <w:rPr>
          <w:i/>
          <w:sz w:val="18"/>
          <w:szCs w:val="18"/>
        </w:rPr>
        <w:t xml:space="preserve">. </w:t>
      </w:r>
      <w:proofErr w:type="gramStart"/>
      <w:r w:rsidRPr="00E56C73">
        <w:rPr>
          <w:i/>
          <w:sz w:val="18"/>
          <w:szCs w:val="18"/>
        </w:rPr>
        <w:t>the</w:t>
      </w:r>
      <w:proofErr w:type="gramEnd"/>
      <w:r w:rsidRPr="00E56C73">
        <w:rPr>
          <w:i/>
          <w:sz w:val="18"/>
          <w:szCs w:val="18"/>
        </w:rPr>
        <w:t xml:space="preserve"> Netherlands</w:t>
      </w:r>
      <w:r w:rsidRPr="00E56C73">
        <w:rPr>
          <w:sz w:val="18"/>
          <w:szCs w:val="18"/>
        </w:rPr>
        <w:t>,</w:t>
      </w:r>
      <w:r w:rsidRPr="00E56C73">
        <w:rPr>
          <w:b/>
          <w:i/>
          <w:sz w:val="18"/>
          <w:szCs w:val="18"/>
        </w:rPr>
        <w:t xml:space="preserve"> </w:t>
      </w:r>
      <w:proofErr w:type="spellStart"/>
      <w:r>
        <w:rPr>
          <w:sz w:val="18"/>
          <w:szCs w:val="18"/>
        </w:rPr>
        <w:t>recours</w:t>
      </w:r>
      <w:proofErr w:type="spellEnd"/>
      <w:r w:rsidRPr="00E56C73">
        <w:rPr>
          <w:sz w:val="18"/>
          <w:szCs w:val="18"/>
        </w:rPr>
        <w:t xml:space="preserve"> No. 16616/90 (1995).</w:t>
      </w:r>
    </w:p>
  </w:footnote>
  <w:footnote w:id="38">
    <w:p w14:paraId="4BC00955" w14:textId="77777777" w:rsidR="006E0B44" w:rsidRPr="00801E58" w:rsidRDefault="006E0B44" w:rsidP="00320F8B">
      <w:pPr>
        <w:pStyle w:val="FootnoteText"/>
        <w:rPr>
          <w:rFonts w:asciiTheme="majorHAnsi" w:hAnsiTheme="majorHAnsi"/>
          <w:sz w:val="18"/>
          <w:szCs w:val="18"/>
          <w:lang w:val="en-US"/>
        </w:rPr>
      </w:pPr>
      <w:r w:rsidRPr="00801E58">
        <w:rPr>
          <w:rStyle w:val="FootnoteReference"/>
          <w:rFonts w:asciiTheme="majorHAnsi" w:hAnsiTheme="majorHAnsi"/>
          <w:sz w:val="18"/>
          <w:szCs w:val="18"/>
        </w:rPr>
        <w:footnoteRef/>
      </w:r>
      <w:r w:rsidRPr="00801E58">
        <w:rPr>
          <w:rFonts w:asciiTheme="majorHAnsi" w:hAnsiTheme="majorHAnsi"/>
          <w:sz w:val="18"/>
          <w:szCs w:val="18"/>
        </w:rPr>
        <w:t xml:space="preserve"> </w:t>
      </w:r>
      <w:proofErr w:type="gramStart"/>
      <w:r w:rsidRPr="00801E58">
        <w:rPr>
          <w:rFonts w:asciiTheme="majorHAnsi" w:hAnsiTheme="majorHAnsi"/>
          <w:sz w:val="18"/>
          <w:szCs w:val="18"/>
          <w:lang w:val="en-US"/>
        </w:rPr>
        <w:t xml:space="preserve">MLDI, 2015, </w:t>
      </w:r>
      <w:proofErr w:type="spellStart"/>
      <w:r w:rsidRPr="00801E58">
        <w:rPr>
          <w:rFonts w:asciiTheme="majorHAnsi" w:hAnsiTheme="majorHAnsi"/>
          <w:sz w:val="18"/>
          <w:szCs w:val="18"/>
          <w:lang w:val="en-US"/>
        </w:rPr>
        <w:t>Op.Cit</w:t>
      </w:r>
      <w:proofErr w:type="spellEnd"/>
      <w:r w:rsidRPr="00801E58">
        <w:rPr>
          <w:rFonts w:asciiTheme="majorHAnsi" w:hAnsiTheme="majorHAnsi"/>
          <w:sz w:val="18"/>
          <w:szCs w:val="18"/>
          <w:lang w:val="en-US"/>
        </w:rPr>
        <w:t>.</w:t>
      </w:r>
      <w:proofErr w:type="gramEnd"/>
    </w:p>
  </w:footnote>
  <w:footnote w:id="39">
    <w:p w14:paraId="2132DD72" w14:textId="77777777" w:rsidR="006E0B44" w:rsidRPr="00674228" w:rsidRDefault="006E0B44" w:rsidP="007D2662">
      <w:pPr>
        <w:pStyle w:val="FootnoteText"/>
        <w:jc w:val="both"/>
        <w:rPr>
          <w:rFonts w:asciiTheme="majorHAnsi" w:hAnsiTheme="majorHAnsi"/>
          <w:sz w:val="18"/>
          <w:szCs w:val="18"/>
          <w:lang w:val="fr-FR"/>
        </w:rPr>
      </w:pPr>
      <w:r w:rsidRPr="00801E58">
        <w:rPr>
          <w:rStyle w:val="FootnoteReference"/>
          <w:rFonts w:asciiTheme="majorHAnsi" w:hAnsiTheme="majorHAnsi"/>
          <w:sz w:val="18"/>
          <w:szCs w:val="18"/>
        </w:rPr>
        <w:footnoteRef/>
      </w:r>
      <w:r w:rsidRPr="00801E58">
        <w:rPr>
          <w:rFonts w:asciiTheme="majorHAnsi" w:hAnsiTheme="majorHAnsi"/>
          <w:sz w:val="18"/>
          <w:szCs w:val="18"/>
        </w:rPr>
        <w:t xml:space="preserve"> </w:t>
      </w:r>
      <w:proofErr w:type="gramStart"/>
      <w:r w:rsidRPr="00801E58">
        <w:rPr>
          <w:rFonts w:asciiTheme="majorHAnsi" w:hAnsiTheme="majorHAnsi"/>
          <w:sz w:val="18"/>
          <w:szCs w:val="18"/>
        </w:rPr>
        <w:t xml:space="preserve">UNHRC, </w:t>
      </w:r>
      <w:proofErr w:type="spellStart"/>
      <w:r w:rsidRPr="00801E58">
        <w:rPr>
          <w:rFonts w:asciiTheme="majorHAnsi" w:hAnsiTheme="majorHAnsi"/>
          <w:i/>
          <w:sz w:val="18"/>
          <w:szCs w:val="18"/>
        </w:rPr>
        <w:t>Womah</w:t>
      </w:r>
      <w:proofErr w:type="spellEnd"/>
      <w:r w:rsidRPr="00801E58">
        <w:rPr>
          <w:rFonts w:asciiTheme="majorHAnsi" w:hAnsiTheme="majorHAnsi"/>
          <w:i/>
          <w:sz w:val="18"/>
          <w:szCs w:val="18"/>
        </w:rPr>
        <w:t xml:space="preserve"> </w:t>
      </w:r>
      <w:proofErr w:type="spellStart"/>
      <w:r w:rsidRPr="00801E58">
        <w:rPr>
          <w:rFonts w:asciiTheme="majorHAnsi" w:hAnsiTheme="majorHAnsi"/>
          <w:i/>
          <w:sz w:val="18"/>
          <w:szCs w:val="18"/>
        </w:rPr>
        <w:t>Mukong</w:t>
      </w:r>
      <w:proofErr w:type="spellEnd"/>
      <w:r w:rsidRPr="00801E58">
        <w:rPr>
          <w:rFonts w:asciiTheme="majorHAnsi" w:hAnsiTheme="majorHAnsi"/>
          <w:i/>
          <w:sz w:val="18"/>
          <w:szCs w:val="18"/>
        </w:rPr>
        <w:t xml:space="preserve"> </w:t>
      </w:r>
      <w:r>
        <w:rPr>
          <w:rFonts w:asciiTheme="majorHAnsi" w:hAnsiTheme="majorHAnsi"/>
          <w:i/>
          <w:sz w:val="18"/>
          <w:szCs w:val="18"/>
        </w:rPr>
        <w:t>c</w:t>
      </w:r>
      <w:r w:rsidRPr="00801E58">
        <w:rPr>
          <w:rFonts w:asciiTheme="majorHAnsi" w:hAnsiTheme="majorHAnsi"/>
          <w:i/>
          <w:sz w:val="18"/>
          <w:szCs w:val="18"/>
        </w:rPr>
        <w:t>. Camer</w:t>
      </w:r>
      <w:r>
        <w:rPr>
          <w:rFonts w:asciiTheme="majorHAnsi" w:hAnsiTheme="majorHAnsi"/>
          <w:i/>
          <w:sz w:val="18"/>
          <w:szCs w:val="18"/>
        </w:rPr>
        <w:t>ou</w:t>
      </w:r>
      <w:r w:rsidRPr="00801E58">
        <w:rPr>
          <w:rFonts w:asciiTheme="majorHAnsi" w:hAnsiTheme="majorHAnsi"/>
          <w:i/>
          <w:sz w:val="18"/>
          <w:szCs w:val="18"/>
        </w:rPr>
        <w:t>n</w:t>
      </w:r>
      <w:r w:rsidRPr="00801E58">
        <w:rPr>
          <w:rFonts w:asciiTheme="majorHAnsi" w:hAnsiTheme="majorHAnsi"/>
          <w:sz w:val="18"/>
          <w:szCs w:val="18"/>
        </w:rPr>
        <w:t>, Communication No. 458/1991, UN Doc. No.</w:t>
      </w:r>
      <w:proofErr w:type="gramEnd"/>
      <w:r w:rsidRPr="00801E58">
        <w:rPr>
          <w:rFonts w:asciiTheme="majorHAnsi" w:hAnsiTheme="majorHAnsi"/>
          <w:sz w:val="18"/>
          <w:szCs w:val="18"/>
        </w:rPr>
        <w:t xml:space="preserve"> </w:t>
      </w:r>
      <w:r w:rsidRPr="00674228">
        <w:rPr>
          <w:rFonts w:asciiTheme="majorHAnsi" w:hAnsiTheme="majorHAnsi"/>
          <w:sz w:val="18"/>
          <w:szCs w:val="18"/>
          <w:lang w:val="fr-FR"/>
        </w:rPr>
        <w:t>CCPR/C/51/D/458/1991 (1994).</w:t>
      </w:r>
    </w:p>
  </w:footnote>
  <w:footnote w:id="40">
    <w:p w14:paraId="3766108B" w14:textId="77777777" w:rsidR="006E0B44" w:rsidRPr="00674228" w:rsidRDefault="006E0B44" w:rsidP="00320F8B">
      <w:pPr>
        <w:pStyle w:val="FootnoteText"/>
        <w:rPr>
          <w:sz w:val="18"/>
          <w:szCs w:val="18"/>
          <w:lang w:val="fr-FR"/>
        </w:rPr>
      </w:pPr>
      <w:r w:rsidRPr="00B6712D">
        <w:rPr>
          <w:rStyle w:val="FootnoteReference"/>
          <w:sz w:val="18"/>
          <w:szCs w:val="18"/>
        </w:rPr>
        <w:footnoteRef/>
      </w:r>
      <w:r w:rsidRPr="00674228">
        <w:rPr>
          <w:sz w:val="18"/>
          <w:szCs w:val="18"/>
          <w:lang w:val="fr-FR"/>
        </w:rPr>
        <w:t xml:space="preserve"> </w:t>
      </w:r>
      <w:r w:rsidRPr="00674228">
        <w:rPr>
          <w:i/>
          <w:iCs/>
          <w:sz w:val="18"/>
          <w:szCs w:val="18"/>
          <w:lang w:val="fr-FR"/>
        </w:rPr>
        <w:t>Id.,</w:t>
      </w:r>
      <w:r w:rsidRPr="00674228">
        <w:rPr>
          <w:i/>
          <w:iCs/>
          <w:sz w:val="18"/>
          <w:szCs w:val="18"/>
          <w:u w:val="single"/>
          <w:lang w:val="fr-FR"/>
        </w:rPr>
        <w:t xml:space="preserve"> </w:t>
      </w:r>
      <w:r w:rsidRPr="00674228">
        <w:rPr>
          <w:sz w:val="18"/>
          <w:szCs w:val="18"/>
          <w:lang w:val="fr-FR"/>
        </w:rPr>
        <w:t xml:space="preserve">par. 9.7. </w:t>
      </w:r>
    </w:p>
  </w:footnote>
  <w:footnote w:id="41">
    <w:p w14:paraId="61956BD3" w14:textId="77777777" w:rsidR="006E0B44" w:rsidRPr="00674228" w:rsidRDefault="006E0B44" w:rsidP="0035597E">
      <w:pPr>
        <w:pStyle w:val="FootnoteText"/>
        <w:rPr>
          <w:rFonts w:asciiTheme="majorHAnsi" w:hAnsiTheme="majorHAnsi"/>
          <w:sz w:val="18"/>
          <w:szCs w:val="18"/>
          <w:lang w:val="fr-FR"/>
        </w:rPr>
      </w:pPr>
      <w:r w:rsidRPr="0047018F">
        <w:rPr>
          <w:rStyle w:val="FootnoteReference"/>
          <w:rFonts w:asciiTheme="majorHAnsi" w:hAnsiTheme="majorHAnsi" w:cstheme="majorBidi"/>
          <w:sz w:val="18"/>
          <w:szCs w:val="18"/>
        </w:rPr>
        <w:footnoteRef/>
      </w:r>
      <w:r w:rsidRPr="00674228">
        <w:rPr>
          <w:rStyle w:val="FootnoteReference"/>
          <w:rFonts w:asciiTheme="majorHAnsi" w:hAnsiTheme="majorHAnsi" w:cstheme="majorBidi"/>
          <w:sz w:val="18"/>
          <w:szCs w:val="18"/>
          <w:lang w:val="fr-FR"/>
        </w:rPr>
        <w:t xml:space="preserve"> </w:t>
      </w:r>
      <w:r w:rsidRPr="00674228">
        <w:rPr>
          <w:rFonts w:asciiTheme="majorHAnsi" w:hAnsiTheme="majorHAnsi" w:cstheme="majorBidi"/>
          <w:sz w:val="18"/>
          <w:szCs w:val="18"/>
          <w:lang w:val="fr-FR"/>
        </w:rPr>
        <w:t xml:space="preserve">Voir: Marathe c. Etat de </w:t>
      </w:r>
      <w:proofErr w:type="spellStart"/>
      <w:r w:rsidRPr="00674228">
        <w:rPr>
          <w:rFonts w:asciiTheme="majorHAnsi" w:hAnsiTheme="majorHAnsi" w:cstheme="majorBidi"/>
          <w:sz w:val="18"/>
          <w:szCs w:val="18"/>
          <w:lang w:val="fr-FR"/>
        </w:rPr>
        <w:t>Maharashtra</w:t>
      </w:r>
      <w:proofErr w:type="spellEnd"/>
      <w:r w:rsidRPr="00674228">
        <w:rPr>
          <w:rFonts w:asciiTheme="majorHAnsi" w:hAnsiTheme="majorHAnsi" w:cstheme="majorBidi"/>
          <w:sz w:val="18"/>
          <w:szCs w:val="18"/>
          <w:lang w:val="fr-FR"/>
        </w:rPr>
        <w:t xml:space="preserve">, </w:t>
      </w:r>
      <w:hyperlink r:id="rId1" w:history="1">
        <w:r w:rsidRPr="00674228">
          <w:rPr>
            <w:rStyle w:val="Hyperlink"/>
            <w:rFonts w:asciiTheme="majorHAnsi" w:hAnsiTheme="majorHAnsi" w:cstheme="majorBidi"/>
            <w:sz w:val="18"/>
            <w:szCs w:val="18"/>
            <w:lang w:val="fr-FR"/>
          </w:rPr>
          <w:t>https://globalfreedomofexpression.columbia.edu/cases/marathe-v-the-state-</w:t>
        </w:r>
      </w:hyperlink>
      <w:r w:rsidRPr="00674228">
        <w:rPr>
          <w:rFonts w:asciiTheme="majorHAnsi" w:hAnsiTheme="majorHAnsi" w:cstheme="majorBidi"/>
          <w:sz w:val="18"/>
          <w:szCs w:val="18"/>
          <w:lang w:val="fr-FR"/>
        </w:rPr>
        <w:t xml:space="preserve"> of-</w:t>
      </w:r>
      <w:proofErr w:type="spellStart"/>
      <w:r w:rsidRPr="00674228">
        <w:rPr>
          <w:rFonts w:asciiTheme="majorHAnsi" w:hAnsiTheme="majorHAnsi" w:cstheme="majorBidi"/>
          <w:sz w:val="18"/>
          <w:szCs w:val="18"/>
          <w:lang w:val="fr-FR"/>
        </w:rPr>
        <w:t>maharashtra</w:t>
      </w:r>
      <w:proofErr w:type="spellEnd"/>
      <w:r w:rsidRPr="00674228">
        <w:rPr>
          <w:rFonts w:asciiTheme="majorHAnsi" w:hAnsiTheme="majorHAnsi" w:cstheme="majorBidi"/>
          <w:sz w:val="18"/>
          <w:szCs w:val="18"/>
          <w:lang w:val="fr-FR"/>
        </w:rPr>
        <w:t>/</w:t>
      </w:r>
    </w:p>
  </w:footnote>
  <w:footnote w:id="42">
    <w:p w14:paraId="27D2CC3A" w14:textId="1ADB28F9" w:rsidR="006E0B44" w:rsidRPr="00C21127" w:rsidRDefault="006E0B44">
      <w:pPr>
        <w:pStyle w:val="FootnoteText"/>
        <w:rPr>
          <w:rFonts w:asciiTheme="majorHAnsi" w:hAnsiTheme="majorHAnsi"/>
          <w:sz w:val="18"/>
          <w:szCs w:val="18"/>
          <w:lang w:val="en-US"/>
        </w:rPr>
      </w:pPr>
      <w:r w:rsidRPr="00C21127">
        <w:rPr>
          <w:rStyle w:val="FootnoteReference"/>
          <w:rFonts w:asciiTheme="majorHAnsi" w:hAnsiTheme="majorHAnsi"/>
          <w:sz w:val="18"/>
          <w:szCs w:val="18"/>
        </w:rPr>
        <w:footnoteRef/>
      </w:r>
      <w:r w:rsidRPr="00C21127">
        <w:rPr>
          <w:rFonts w:asciiTheme="majorHAnsi" w:hAnsiTheme="majorHAnsi"/>
          <w:sz w:val="18"/>
          <w:szCs w:val="18"/>
        </w:rPr>
        <w:t xml:space="preserve"> C</w:t>
      </w:r>
      <w:r w:rsidRPr="00C21127">
        <w:rPr>
          <w:rFonts w:ascii="Calibri" w:hAnsi="Calibri" w:cs="Calibri"/>
          <w:sz w:val="18"/>
          <w:szCs w:val="18"/>
        </w:rPr>
        <w:t xml:space="preserve">ase 14-049903AST-BORG/01 14-174730AST-BORG/01, Court Supreme, </w:t>
      </w:r>
      <w:proofErr w:type="spellStart"/>
      <w:r w:rsidRPr="00C21127">
        <w:rPr>
          <w:rFonts w:ascii="Calibri" w:hAnsi="Calibri" w:cs="Calibri"/>
          <w:sz w:val="18"/>
          <w:szCs w:val="18"/>
        </w:rPr>
        <w:t>Norvege</w:t>
      </w:r>
      <w:proofErr w:type="spellEnd"/>
      <w:r w:rsidRPr="00C21127">
        <w:rPr>
          <w:rFonts w:ascii="Calibri" w:hAnsi="Calibri" w:cs="Calibri"/>
          <w:sz w:val="18"/>
          <w:szCs w:val="18"/>
        </w:rPr>
        <w:t>, November 2015, https://www.domstol.no/globalassets/upload/borg/internett/forside-nyheter/14-049903ast-borg-trusler-mm.pdf</w:t>
      </w:r>
    </w:p>
  </w:footnote>
  <w:footnote w:id="43">
    <w:p w14:paraId="3C567ADC" w14:textId="77777777" w:rsidR="006E0B44" w:rsidRPr="00C21127" w:rsidRDefault="006E0B44" w:rsidP="004351AA">
      <w:pPr>
        <w:pStyle w:val="FootnoteText"/>
        <w:ind w:left="180" w:hanging="180"/>
        <w:rPr>
          <w:rFonts w:asciiTheme="majorHAnsi" w:hAnsiTheme="majorHAnsi" w:cstheme="majorBidi"/>
          <w:sz w:val="18"/>
          <w:szCs w:val="18"/>
          <w:lang w:val="fr-FR"/>
        </w:rPr>
      </w:pPr>
      <w:r w:rsidRPr="00C21127">
        <w:rPr>
          <w:rStyle w:val="FootnoteReference"/>
          <w:rFonts w:asciiTheme="majorHAnsi" w:hAnsiTheme="majorHAnsi" w:cstheme="majorBidi"/>
          <w:sz w:val="18"/>
          <w:szCs w:val="18"/>
        </w:rPr>
        <w:footnoteRef/>
      </w:r>
      <w:r w:rsidRPr="00C21127">
        <w:rPr>
          <w:rFonts w:asciiTheme="majorHAnsi" w:hAnsiTheme="majorHAnsi" w:cstheme="majorBidi"/>
          <w:sz w:val="18"/>
          <w:szCs w:val="18"/>
          <w:lang w:val="fr-FR"/>
        </w:rPr>
        <w:t xml:space="preserve"> Voir le Plan d’action de Rabat, disponible à travers le lien suivant:  </w:t>
      </w:r>
    </w:p>
    <w:p w14:paraId="5CB41167" w14:textId="77777777" w:rsidR="006E0B44" w:rsidRPr="00272F1D" w:rsidRDefault="006E0B44" w:rsidP="004351AA">
      <w:pPr>
        <w:pStyle w:val="FootnoteText"/>
        <w:ind w:left="180" w:hanging="180"/>
        <w:rPr>
          <w:rFonts w:asciiTheme="majorHAnsi" w:hAnsiTheme="majorHAnsi" w:cstheme="majorBidi"/>
          <w:sz w:val="18"/>
          <w:szCs w:val="18"/>
          <w:lang w:val="en-US"/>
        </w:rPr>
      </w:pPr>
      <w:r w:rsidRPr="00272F1D">
        <w:rPr>
          <w:rFonts w:asciiTheme="majorHAnsi" w:hAnsiTheme="majorHAnsi" w:cstheme="majorBidi"/>
          <w:sz w:val="18"/>
          <w:szCs w:val="18"/>
          <w:lang w:val="en-US"/>
        </w:rPr>
        <w:t>&lt;</w:t>
      </w:r>
      <w:r w:rsidRPr="00272F1D">
        <w:rPr>
          <w:rFonts w:asciiTheme="majorHAnsi" w:hAnsiTheme="majorHAnsi" w:cstheme="majorBidi"/>
          <w:sz w:val="18"/>
          <w:szCs w:val="18"/>
        </w:rPr>
        <w:t xml:space="preserve"> </w:t>
      </w:r>
      <w:r w:rsidRPr="00272F1D">
        <w:rPr>
          <w:rFonts w:asciiTheme="majorHAnsi" w:hAnsiTheme="majorHAnsi" w:cstheme="majorBidi"/>
          <w:sz w:val="18"/>
          <w:szCs w:val="18"/>
          <w:lang w:val="en-US"/>
        </w:rPr>
        <w:t xml:space="preserve">http://www.un.org/en/preventgenocide/adviser/pdf/Rabat_draft_outcome.pdf &gt;. </w:t>
      </w:r>
      <w:r>
        <w:rPr>
          <w:rFonts w:asciiTheme="majorHAnsi" w:hAnsiTheme="majorHAnsi" w:cstheme="majorBidi"/>
          <w:sz w:val="18"/>
          <w:szCs w:val="18"/>
          <w:lang w:val="en-US"/>
        </w:rPr>
        <w:t xml:space="preserve">Pour plus </w:t>
      </w:r>
      <w:proofErr w:type="spellStart"/>
      <w:r>
        <w:rPr>
          <w:rFonts w:asciiTheme="majorHAnsi" w:hAnsiTheme="majorHAnsi" w:cstheme="majorBidi"/>
          <w:sz w:val="18"/>
          <w:szCs w:val="18"/>
          <w:lang w:val="en-US"/>
        </w:rPr>
        <w:t>d’informations</w:t>
      </w:r>
      <w:proofErr w:type="spellEnd"/>
      <w:r>
        <w:rPr>
          <w:rFonts w:asciiTheme="majorHAnsi" w:hAnsiTheme="majorHAnsi" w:cstheme="majorBidi"/>
          <w:sz w:val="18"/>
          <w:szCs w:val="18"/>
          <w:lang w:val="en-US"/>
        </w:rPr>
        <w:t xml:space="preserve"> </w:t>
      </w:r>
      <w:proofErr w:type="spellStart"/>
      <w:r>
        <w:rPr>
          <w:rFonts w:asciiTheme="majorHAnsi" w:hAnsiTheme="majorHAnsi" w:cstheme="majorBidi"/>
          <w:sz w:val="18"/>
          <w:szCs w:val="18"/>
          <w:lang w:val="en-US"/>
        </w:rPr>
        <w:t>sur</w:t>
      </w:r>
      <w:proofErr w:type="spellEnd"/>
      <w:r>
        <w:rPr>
          <w:rFonts w:asciiTheme="majorHAnsi" w:hAnsiTheme="majorHAnsi" w:cstheme="majorBidi"/>
          <w:sz w:val="18"/>
          <w:szCs w:val="18"/>
          <w:lang w:val="en-US"/>
        </w:rPr>
        <w:t xml:space="preserve"> </w:t>
      </w:r>
      <w:proofErr w:type="spellStart"/>
      <w:r>
        <w:rPr>
          <w:rFonts w:asciiTheme="majorHAnsi" w:hAnsiTheme="majorHAnsi" w:cstheme="majorBidi"/>
          <w:sz w:val="18"/>
          <w:szCs w:val="18"/>
          <w:lang w:val="en-US"/>
        </w:rPr>
        <w:t>ce</w:t>
      </w:r>
      <w:proofErr w:type="spellEnd"/>
      <w:r>
        <w:rPr>
          <w:rFonts w:asciiTheme="majorHAnsi" w:hAnsiTheme="majorHAnsi" w:cstheme="majorBidi"/>
          <w:sz w:val="18"/>
          <w:szCs w:val="18"/>
          <w:lang w:val="en-US"/>
        </w:rPr>
        <w:t xml:space="preserve"> plan et </w:t>
      </w:r>
      <w:proofErr w:type="spellStart"/>
      <w:r>
        <w:rPr>
          <w:rFonts w:asciiTheme="majorHAnsi" w:hAnsiTheme="majorHAnsi" w:cstheme="majorBidi"/>
          <w:sz w:val="18"/>
          <w:szCs w:val="18"/>
          <w:lang w:val="en-US"/>
        </w:rPr>
        <w:t>une</w:t>
      </w:r>
      <w:proofErr w:type="spellEnd"/>
      <w:r>
        <w:rPr>
          <w:rFonts w:asciiTheme="majorHAnsi" w:hAnsiTheme="majorHAnsi" w:cstheme="majorBidi"/>
          <w:sz w:val="18"/>
          <w:szCs w:val="18"/>
          <w:lang w:val="en-US"/>
        </w:rPr>
        <w:t xml:space="preserve"> </w:t>
      </w:r>
      <w:proofErr w:type="spellStart"/>
      <w:r>
        <w:rPr>
          <w:rFonts w:asciiTheme="majorHAnsi" w:hAnsiTheme="majorHAnsi" w:cstheme="majorBidi"/>
          <w:sz w:val="18"/>
          <w:szCs w:val="18"/>
          <w:lang w:val="en-US"/>
        </w:rPr>
        <w:t>analyse</w:t>
      </w:r>
      <w:proofErr w:type="spellEnd"/>
      <w:r>
        <w:rPr>
          <w:rFonts w:asciiTheme="majorHAnsi" w:hAnsiTheme="majorHAnsi" w:cstheme="majorBidi"/>
          <w:sz w:val="18"/>
          <w:szCs w:val="18"/>
          <w:lang w:val="en-US"/>
        </w:rPr>
        <w:t xml:space="preserve"> exhaustive de </w:t>
      </w:r>
      <w:proofErr w:type="spellStart"/>
      <w:r>
        <w:rPr>
          <w:rFonts w:asciiTheme="majorHAnsi" w:hAnsiTheme="majorHAnsi" w:cstheme="majorBidi"/>
          <w:sz w:val="18"/>
          <w:szCs w:val="18"/>
          <w:lang w:val="en-US"/>
        </w:rPr>
        <w:t>l’a</w:t>
      </w:r>
      <w:r w:rsidRPr="00272F1D">
        <w:rPr>
          <w:rFonts w:asciiTheme="majorHAnsi" w:hAnsiTheme="majorHAnsi" w:cstheme="majorBidi"/>
          <w:sz w:val="18"/>
          <w:szCs w:val="18"/>
          <w:lang w:val="en-US"/>
        </w:rPr>
        <w:t>rticle</w:t>
      </w:r>
      <w:proofErr w:type="spellEnd"/>
      <w:r w:rsidRPr="00272F1D">
        <w:rPr>
          <w:rFonts w:asciiTheme="majorHAnsi" w:hAnsiTheme="majorHAnsi" w:cstheme="majorBidi"/>
          <w:sz w:val="18"/>
          <w:szCs w:val="18"/>
          <w:lang w:val="en-US"/>
        </w:rPr>
        <w:t xml:space="preserve"> 20(2</w:t>
      </w:r>
      <w:proofErr w:type="gramStart"/>
      <w:r w:rsidRPr="00272F1D">
        <w:rPr>
          <w:rFonts w:asciiTheme="majorHAnsi" w:hAnsiTheme="majorHAnsi" w:cstheme="majorBidi"/>
          <w:sz w:val="18"/>
          <w:szCs w:val="18"/>
          <w:lang w:val="en-US"/>
        </w:rPr>
        <w:t xml:space="preserve">) </w:t>
      </w:r>
      <w:r>
        <w:rPr>
          <w:rFonts w:asciiTheme="majorHAnsi" w:hAnsiTheme="majorHAnsi" w:cstheme="majorBidi"/>
          <w:sz w:val="18"/>
          <w:szCs w:val="18"/>
          <w:lang w:val="en-US"/>
        </w:rPr>
        <w:t xml:space="preserve"> de</w:t>
      </w:r>
      <w:proofErr w:type="gramEnd"/>
      <w:r>
        <w:rPr>
          <w:rFonts w:asciiTheme="majorHAnsi" w:hAnsiTheme="majorHAnsi" w:cstheme="majorBidi"/>
          <w:sz w:val="18"/>
          <w:szCs w:val="18"/>
          <w:lang w:val="en-US"/>
        </w:rPr>
        <w:t xml:space="preserve"> </w:t>
      </w:r>
      <w:proofErr w:type="spellStart"/>
      <w:r>
        <w:rPr>
          <w:rFonts w:asciiTheme="majorHAnsi" w:hAnsiTheme="majorHAnsi" w:cstheme="majorBidi"/>
          <w:sz w:val="18"/>
          <w:szCs w:val="18"/>
          <w:lang w:val="en-US"/>
        </w:rPr>
        <w:t>l’</w:t>
      </w:r>
      <w:r w:rsidRPr="00272F1D">
        <w:rPr>
          <w:rFonts w:asciiTheme="majorHAnsi" w:hAnsiTheme="majorHAnsi" w:cstheme="majorBidi"/>
          <w:sz w:val="18"/>
          <w:szCs w:val="18"/>
          <w:lang w:val="en-US"/>
        </w:rPr>
        <w:t>ICCPR</w:t>
      </w:r>
      <w:proofErr w:type="spellEnd"/>
      <w:r w:rsidRPr="00272F1D">
        <w:rPr>
          <w:rFonts w:asciiTheme="majorHAnsi" w:hAnsiTheme="majorHAnsi" w:cstheme="majorBidi"/>
          <w:sz w:val="18"/>
          <w:szCs w:val="18"/>
          <w:lang w:val="en-US"/>
        </w:rPr>
        <w:t xml:space="preserve">, </w:t>
      </w:r>
      <w:proofErr w:type="spellStart"/>
      <w:r>
        <w:rPr>
          <w:rFonts w:asciiTheme="majorHAnsi" w:hAnsiTheme="majorHAnsi" w:cstheme="majorBidi"/>
          <w:sz w:val="18"/>
          <w:szCs w:val="18"/>
          <w:lang w:val="en-US"/>
        </w:rPr>
        <w:t>voir</w:t>
      </w:r>
      <w:proofErr w:type="spellEnd"/>
      <w:r w:rsidRPr="00272F1D">
        <w:rPr>
          <w:rFonts w:asciiTheme="majorHAnsi" w:hAnsiTheme="majorHAnsi" w:cstheme="majorBidi"/>
          <w:sz w:val="18"/>
          <w:szCs w:val="18"/>
          <w:lang w:val="en-US"/>
        </w:rPr>
        <w:t xml:space="preserve"> </w:t>
      </w:r>
      <w:proofErr w:type="spellStart"/>
      <w:r w:rsidRPr="00272F1D">
        <w:rPr>
          <w:rFonts w:asciiTheme="majorHAnsi" w:hAnsiTheme="majorHAnsi" w:cstheme="majorBidi"/>
          <w:sz w:val="18"/>
          <w:szCs w:val="18"/>
          <w:lang w:val="en-US"/>
        </w:rPr>
        <w:t>Jeroen</w:t>
      </w:r>
      <w:proofErr w:type="spellEnd"/>
      <w:r w:rsidRPr="00272F1D">
        <w:rPr>
          <w:rFonts w:asciiTheme="majorHAnsi" w:hAnsiTheme="majorHAnsi" w:cstheme="majorBidi"/>
          <w:sz w:val="18"/>
          <w:szCs w:val="18"/>
          <w:lang w:val="en-US"/>
        </w:rPr>
        <w:t xml:space="preserve"> </w:t>
      </w:r>
      <w:proofErr w:type="spellStart"/>
      <w:r w:rsidRPr="00272F1D">
        <w:rPr>
          <w:rFonts w:asciiTheme="majorHAnsi" w:hAnsiTheme="majorHAnsi" w:cstheme="majorBidi"/>
          <w:sz w:val="18"/>
          <w:szCs w:val="18"/>
          <w:lang w:val="en-US"/>
        </w:rPr>
        <w:t>Temperman</w:t>
      </w:r>
      <w:proofErr w:type="spellEnd"/>
      <w:r w:rsidRPr="00272F1D">
        <w:rPr>
          <w:rFonts w:asciiTheme="majorHAnsi" w:hAnsiTheme="majorHAnsi" w:cstheme="majorBidi"/>
          <w:sz w:val="18"/>
          <w:szCs w:val="18"/>
          <w:lang w:val="en-US"/>
        </w:rPr>
        <w:t xml:space="preserve">, </w:t>
      </w:r>
      <w:r>
        <w:rPr>
          <w:rFonts w:asciiTheme="majorHAnsi" w:hAnsiTheme="majorHAnsi" w:cstheme="majorBidi"/>
          <w:sz w:val="18"/>
          <w:szCs w:val="18"/>
          <w:lang w:val="en-US"/>
        </w:rPr>
        <w:t>“</w:t>
      </w:r>
      <w:r w:rsidRPr="00272F1D">
        <w:rPr>
          <w:rFonts w:asciiTheme="majorHAnsi" w:hAnsiTheme="majorHAnsi" w:cstheme="majorBidi"/>
          <w:i/>
          <w:sz w:val="18"/>
          <w:szCs w:val="18"/>
          <w:lang w:val="en-US"/>
        </w:rPr>
        <w:t>Religious Hatred and International Law: The Prohibition of Incitement to Violence or Discrimination</w:t>
      </w:r>
      <w:r>
        <w:rPr>
          <w:rFonts w:asciiTheme="majorHAnsi" w:hAnsiTheme="majorHAnsi" w:cstheme="majorBidi"/>
          <w:i/>
          <w:sz w:val="18"/>
          <w:szCs w:val="18"/>
          <w:lang w:val="en-US"/>
        </w:rPr>
        <w:t>”</w:t>
      </w:r>
      <w:r w:rsidRPr="00272F1D">
        <w:rPr>
          <w:rFonts w:asciiTheme="majorHAnsi" w:hAnsiTheme="majorHAnsi" w:cstheme="majorBidi"/>
          <w:i/>
          <w:sz w:val="18"/>
          <w:szCs w:val="18"/>
          <w:lang w:val="en-US"/>
        </w:rPr>
        <w:t xml:space="preserve"> </w:t>
      </w:r>
      <w:r w:rsidRPr="00272F1D">
        <w:rPr>
          <w:rFonts w:asciiTheme="majorHAnsi" w:hAnsiTheme="majorHAnsi" w:cstheme="majorBidi"/>
          <w:sz w:val="18"/>
          <w:szCs w:val="18"/>
          <w:lang w:val="en-US"/>
        </w:rPr>
        <w:t xml:space="preserve">(Cambridge: Cambridge University Press, 2016), developing the requirement of a ‘triangle of incitement’. </w:t>
      </w:r>
    </w:p>
  </w:footnote>
  <w:footnote w:id="44">
    <w:p w14:paraId="030C8133" w14:textId="77777777" w:rsidR="006E0B44" w:rsidRPr="00272F1D" w:rsidRDefault="006E0B44" w:rsidP="006B4FD8">
      <w:pPr>
        <w:pStyle w:val="FootnoteText"/>
        <w:ind w:left="180" w:hanging="180"/>
        <w:rPr>
          <w:rFonts w:asciiTheme="majorHAnsi" w:hAnsiTheme="majorHAnsi" w:cstheme="majorBidi"/>
          <w:sz w:val="18"/>
          <w:szCs w:val="18"/>
          <w:lang w:val="en-US"/>
        </w:rPr>
      </w:pPr>
      <w:r w:rsidRPr="00272F1D">
        <w:rPr>
          <w:rStyle w:val="FootnoteReference"/>
          <w:rFonts w:asciiTheme="majorHAnsi" w:hAnsiTheme="majorHAnsi" w:cstheme="majorBidi"/>
          <w:sz w:val="18"/>
          <w:szCs w:val="18"/>
        </w:rPr>
        <w:footnoteRef/>
      </w:r>
      <w:r w:rsidRPr="00272F1D">
        <w:rPr>
          <w:rFonts w:asciiTheme="majorHAnsi" w:hAnsiTheme="majorHAnsi" w:cstheme="majorBidi"/>
          <w:sz w:val="18"/>
          <w:szCs w:val="18"/>
        </w:rPr>
        <w:t xml:space="preserve"> Jack </w:t>
      </w:r>
      <w:proofErr w:type="spellStart"/>
      <w:r w:rsidRPr="00272F1D">
        <w:rPr>
          <w:rFonts w:asciiTheme="majorHAnsi" w:hAnsiTheme="majorHAnsi" w:cstheme="majorBidi"/>
          <w:sz w:val="18"/>
          <w:szCs w:val="18"/>
        </w:rPr>
        <w:t>Mchangama</w:t>
      </w:r>
      <w:proofErr w:type="spellEnd"/>
      <w:r w:rsidRPr="00272F1D">
        <w:rPr>
          <w:rFonts w:asciiTheme="majorHAnsi" w:hAnsiTheme="majorHAnsi" w:cstheme="majorBidi"/>
          <w:sz w:val="18"/>
          <w:szCs w:val="18"/>
        </w:rPr>
        <w:t>, ‘</w:t>
      </w:r>
      <w:r w:rsidRPr="00272F1D">
        <w:rPr>
          <w:rFonts w:asciiTheme="majorHAnsi" w:hAnsiTheme="majorHAnsi" w:cstheme="majorBidi"/>
          <w:bCs/>
          <w:sz w:val="18"/>
          <w:szCs w:val="18"/>
        </w:rPr>
        <w:t xml:space="preserve">Drawing the line between free speech and online radicalisation’, in </w:t>
      </w:r>
      <w:r w:rsidRPr="00272F1D">
        <w:rPr>
          <w:rFonts w:asciiTheme="majorHAnsi" w:hAnsiTheme="majorHAnsi" w:cstheme="majorBidi"/>
          <w:bCs/>
          <w:i/>
          <w:sz w:val="18"/>
          <w:szCs w:val="18"/>
        </w:rPr>
        <w:t>Open Democracy</w:t>
      </w:r>
      <w:r w:rsidRPr="00272F1D">
        <w:rPr>
          <w:rFonts w:asciiTheme="majorHAnsi" w:hAnsiTheme="majorHAnsi" w:cstheme="majorBidi"/>
          <w:bCs/>
          <w:sz w:val="18"/>
          <w:szCs w:val="18"/>
        </w:rPr>
        <w:t xml:space="preserve"> (3 July 2015), </w:t>
      </w:r>
      <w:proofErr w:type="spellStart"/>
      <w:r>
        <w:rPr>
          <w:rFonts w:asciiTheme="majorHAnsi" w:hAnsiTheme="majorHAnsi" w:cstheme="majorBidi"/>
          <w:sz w:val="18"/>
          <w:szCs w:val="18"/>
          <w:lang w:val="en-US"/>
        </w:rPr>
        <w:t>disponible</w:t>
      </w:r>
      <w:proofErr w:type="spellEnd"/>
      <w:r>
        <w:rPr>
          <w:rFonts w:asciiTheme="majorHAnsi" w:hAnsiTheme="majorHAnsi" w:cstheme="majorBidi"/>
          <w:sz w:val="18"/>
          <w:szCs w:val="18"/>
          <w:lang w:val="en-US"/>
        </w:rPr>
        <w:t xml:space="preserve"> à </w:t>
      </w:r>
      <w:proofErr w:type="gramStart"/>
      <w:r>
        <w:rPr>
          <w:rFonts w:asciiTheme="majorHAnsi" w:hAnsiTheme="majorHAnsi" w:cstheme="majorBidi"/>
          <w:sz w:val="18"/>
          <w:szCs w:val="18"/>
          <w:lang w:val="en-US"/>
        </w:rPr>
        <w:t>travers</w:t>
      </w:r>
      <w:proofErr w:type="gramEnd"/>
      <w:r>
        <w:rPr>
          <w:rFonts w:asciiTheme="majorHAnsi" w:hAnsiTheme="majorHAnsi" w:cstheme="majorBidi"/>
          <w:sz w:val="18"/>
          <w:szCs w:val="18"/>
          <w:lang w:val="en-US"/>
        </w:rPr>
        <w:t xml:space="preserve"> le lien </w:t>
      </w:r>
      <w:proofErr w:type="spellStart"/>
      <w:r>
        <w:rPr>
          <w:rFonts w:asciiTheme="majorHAnsi" w:hAnsiTheme="majorHAnsi" w:cstheme="majorBidi"/>
          <w:sz w:val="18"/>
          <w:szCs w:val="18"/>
          <w:lang w:val="en-US"/>
        </w:rPr>
        <w:t>suivant</w:t>
      </w:r>
      <w:proofErr w:type="spellEnd"/>
      <w:r w:rsidRPr="00272F1D">
        <w:rPr>
          <w:rFonts w:asciiTheme="majorHAnsi" w:hAnsiTheme="majorHAnsi" w:cstheme="majorBidi"/>
          <w:bCs/>
          <w:sz w:val="18"/>
          <w:szCs w:val="18"/>
        </w:rPr>
        <w:t xml:space="preserve"> &lt;https://www.opendemocracy.net/digitaliberties/jacob-mchangama/where-do-you-draw-line-between-free-speech-and-promotion-of-terroris&gt;.</w:t>
      </w:r>
    </w:p>
  </w:footnote>
  <w:footnote w:id="45">
    <w:p w14:paraId="11C540C5" w14:textId="77777777" w:rsidR="006E0B44" w:rsidRPr="00674228" w:rsidRDefault="006E0B44" w:rsidP="006B4FD8">
      <w:pPr>
        <w:pStyle w:val="FootnoteText"/>
        <w:rPr>
          <w:lang w:val="fr-FR"/>
        </w:rPr>
      </w:pPr>
      <w:r w:rsidRPr="00272F1D">
        <w:rPr>
          <w:rStyle w:val="FootnoteReference"/>
          <w:rFonts w:asciiTheme="majorHAnsi" w:hAnsiTheme="majorHAnsi"/>
          <w:sz w:val="18"/>
          <w:szCs w:val="18"/>
        </w:rPr>
        <w:footnoteRef/>
      </w:r>
      <w:r w:rsidRPr="00674228">
        <w:rPr>
          <w:rFonts w:asciiTheme="majorHAnsi" w:hAnsiTheme="majorHAnsi"/>
          <w:sz w:val="18"/>
          <w:szCs w:val="18"/>
          <w:lang w:val="fr-FR"/>
        </w:rPr>
        <w:t xml:space="preserve"> Voir: L’affaire de l’agence russe de protection des consommateurs https://globalfreedomofexpression.columbia.edu/cases/case-of-russian-consumer-rights-protection-societys-extremist-statement/</w:t>
      </w:r>
    </w:p>
  </w:footnote>
  <w:footnote w:id="46">
    <w:p w14:paraId="575284BB" w14:textId="77777777" w:rsidR="006E0B44" w:rsidRPr="00674228" w:rsidRDefault="006E0B44">
      <w:pPr>
        <w:pStyle w:val="FootnoteText"/>
        <w:rPr>
          <w:rFonts w:asciiTheme="majorHAnsi" w:hAnsiTheme="majorHAnsi"/>
          <w:sz w:val="18"/>
          <w:szCs w:val="18"/>
          <w:lang w:val="fr-FR"/>
        </w:rPr>
      </w:pPr>
      <w:r w:rsidRPr="006D6209">
        <w:rPr>
          <w:rStyle w:val="FootnoteReference"/>
          <w:rFonts w:asciiTheme="majorHAnsi" w:hAnsiTheme="majorHAnsi"/>
          <w:sz w:val="18"/>
          <w:szCs w:val="18"/>
        </w:rPr>
        <w:footnoteRef/>
      </w:r>
      <w:r w:rsidRPr="00674228">
        <w:rPr>
          <w:rFonts w:asciiTheme="majorHAnsi" w:hAnsiTheme="majorHAnsi"/>
          <w:sz w:val="18"/>
          <w:szCs w:val="18"/>
          <w:lang w:val="fr-FR"/>
        </w:rPr>
        <w:t xml:space="preserve"> </w:t>
      </w:r>
      <w:proofErr w:type="spellStart"/>
      <w:r w:rsidRPr="00674228">
        <w:rPr>
          <w:rFonts w:asciiTheme="majorHAnsi" w:hAnsiTheme="majorHAnsi"/>
          <w:sz w:val="18"/>
          <w:szCs w:val="18"/>
          <w:lang w:val="fr-FR"/>
        </w:rPr>
        <w:t>Agnes</w:t>
      </w:r>
      <w:proofErr w:type="spellEnd"/>
      <w:r w:rsidRPr="00674228">
        <w:rPr>
          <w:rFonts w:asciiTheme="majorHAnsi" w:hAnsiTheme="majorHAnsi"/>
          <w:sz w:val="18"/>
          <w:szCs w:val="18"/>
          <w:lang w:val="fr-FR"/>
        </w:rPr>
        <w:t xml:space="preserve"> Callamard, Typologie du discours de haine et d'incitation, 2016, prochainement </w:t>
      </w:r>
    </w:p>
  </w:footnote>
  <w:footnote w:id="47">
    <w:p w14:paraId="13BAEF80" w14:textId="77777777" w:rsidR="006E0B44" w:rsidRPr="00674228" w:rsidRDefault="006E0B44" w:rsidP="00136F69">
      <w:pPr>
        <w:widowControl w:val="0"/>
        <w:tabs>
          <w:tab w:val="left" w:pos="220"/>
          <w:tab w:val="left" w:pos="720"/>
        </w:tabs>
        <w:autoSpaceDE w:val="0"/>
        <w:autoSpaceDN w:val="0"/>
        <w:adjustRightInd w:val="0"/>
        <w:rPr>
          <w:rFonts w:asciiTheme="majorHAnsi" w:hAnsiTheme="majorHAnsi" w:cs="Times"/>
          <w:sz w:val="18"/>
          <w:szCs w:val="18"/>
          <w:lang w:val="fr-FR"/>
        </w:rPr>
      </w:pPr>
      <w:r w:rsidRPr="006D6209">
        <w:rPr>
          <w:rStyle w:val="FootnoteReference"/>
          <w:rFonts w:asciiTheme="majorHAnsi" w:hAnsiTheme="majorHAnsi"/>
          <w:sz w:val="18"/>
          <w:szCs w:val="18"/>
        </w:rPr>
        <w:footnoteRef/>
      </w:r>
      <w:r w:rsidRPr="00674228">
        <w:rPr>
          <w:rFonts w:asciiTheme="majorHAnsi" w:hAnsiTheme="majorHAnsi"/>
          <w:sz w:val="18"/>
          <w:szCs w:val="18"/>
          <w:lang w:val="fr-FR"/>
        </w:rPr>
        <w:t xml:space="preserve"> </w:t>
      </w:r>
      <w:r w:rsidRPr="00674228">
        <w:rPr>
          <w:rFonts w:asciiTheme="majorHAnsi" w:hAnsiTheme="majorHAnsi" w:cs="Times New Roman"/>
          <w:sz w:val="18"/>
          <w:szCs w:val="18"/>
          <w:lang w:val="fr-FR"/>
        </w:rPr>
        <w:t xml:space="preserve">Voir communication No. 633/95, </w:t>
      </w:r>
      <w:r w:rsidRPr="00674228">
        <w:rPr>
          <w:rFonts w:asciiTheme="majorHAnsi" w:hAnsiTheme="majorHAnsi" w:cs="Times"/>
          <w:sz w:val="18"/>
          <w:szCs w:val="18"/>
          <w:lang w:val="fr-FR"/>
        </w:rPr>
        <w:t>Gauthier c. Canada</w:t>
      </w:r>
      <w:r w:rsidRPr="00674228">
        <w:rPr>
          <w:rFonts w:asciiTheme="majorHAnsi" w:hAnsiTheme="majorHAnsi" w:cs="Times New Roman"/>
          <w:sz w:val="18"/>
          <w:szCs w:val="18"/>
          <w:lang w:val="fr-FR"/>
        </w:rPr>
        <w:t xml:space="preserve">. </w:t>
      </w:r>
      <w:r w:rsidRPr="00674228">
        <w:rPr>
          <w:rFonts w:asciiTheme="majorHAnsi" w:hAnsiTheme="majorHAnsi" w:cs="Times"/>
          <w:sz w:val="18"/>
          <w:szCs w:val="18"/>
          <w:lang w:val="fr-FR"/>
        </w:rPr>
        <w:t> </w:t>
      </w:r>
    </w:p>
  </w:footnote>
  <w:footnote w:id="48">
    <w:p w14:paraId="0582B4C1" w14:textId="77777777" w:rsidR="006E0B44" w:rsidRPr="00674228" w:rsidRDefault="006E0B44" w:rsidP="00136F69">
      <w:pPr>
        <w:widowControl w:val="0"/>
        <w:tabs>
          <w:tab w:val="left" w:pos="220"/>
          <w:tab w:val="left" w:pos="720"/>
        </w:tabs>
        <w:autoSpaceDE w:val="0"/>
        <w:autoSpaceDN w:val="0"/>
        <w:adjustRightInd w:val="0"/>
        <w:rPr>
          <w:rFonts w:asciiTheme="majorHAnsi" w:hAnsiTheme="majorHAnsi" w:cs="Times"/>
          <w:sz w:val="18"/>
          <w:szCs w:val="18"/>
          <w:lang w:val="fr-FR"/>
        </w:rPr>
      </w:pPr>
      <w:r w:rsidRPr="006D6209">
        <w:rPr>
          <w:rStyle w:val="FootnoteReference"/>
          <w:rFonts w:asciiTheme="majorHAnsi" w:hAnsiTheme="majorHAnsi"/>
          <w:sz w:val="18"/>
          <w:szCs w:val="18"/>
        </w:rPr>
        <w:footnoteRef/>
      </w:r>
      <w:r w:rsidRPr="00674228">
        <w:rPr>
          <w:rFonts w:asciiTheme="majorHAnsi" w:hAnsiTheme="majorHAnsi"/>
          <w:sz w:val="18"/>
          <w:szCs w:val="18"/>
          <w:lang w:val="fr-FR"/>
        </w:rPr>
        <w:t xml:space="preserve"> </w:t>
      </w:r>
      <w:r w:rsidRPr="00674228">
        <w:rPr>
          <w:rFonts w:asciiTheme="majorHAnsi" w:hAnsiTheme="majorHAnsi" w:cs="Times New Roman"/>
          <w:sz w:val="18"/>
          <w:szCs w:val="18"/>
          <w:lang w:val="fr-FR"/>
        </w:rPr>
        <w:t xml:space="preserve">Voir communication No. 1373/2005, </w:t>
      </w:r>
      <w:proofErr w:type="spellStart"/>
      <w:r w:rsidRPr="00674228">
        <w:rPr>
          <w:rFonts w:asciiTheme="majorHAnsi" w:hAnsiTheme="majorHAnsi" w:cs="Times"/>
          <w:sz w:val="18"/>
          <w:szCs w:val="18"/>
          <w:lang w:val="fr-FR"/>
        </w:rPr>
        <w:t>Dissanayake</w:t>
      </w:r>
      <w:proofErr w:type="spellEnd"/>
      <w:r w:rsidRPr="00674228">
        <w:rPr>
          <w:rFonts w:asciiTheme="majorHAnsi" w:hAnsiTheme="majorHAnsi" w:cs="Times"/>
          <w:sz w:val="18"/>
          <w:szCs w:val="18"/>
          <w:lang w:val="fr-FR"/>
        </w:rPr>
        <w:t xml:space="preserve"> c. Sri Lanka</w:t>
      </w:r>
      <w:r w:rsidRPr="00674228">
        <w:rPr>
          <w:rFonts w:asciiTheme="majorHAnsi" w:hAnsiTheme="majorHAnsi" w:cs="Times New Roman"/>
          <w:sz w:val="18"/>
          <w:szCs w:val="18"/>
          <w:lang w:val="fr-FR"/>
        </w:rPr>
        <w:t xml:space="preserve">, Points de vue adoptés le 22 juillet 2008. </w:t>
      </w:r>
      <w:r w:rsidRPr="00674228">
        <w:rPr>
          <w:rFonts w:asciiTheme="majorHAnsi" w:hAnsiTheme="majorHAnsi" w:cs="Times"/>
          <w:sz w:val="18"/>
          <w:szCs w:val="18"/>
          <w:lang w:val="fr-FR"/>
        </w:rPr>
        <w:t> </w:t>
      </w:r>
    </w:p>
  </w:footnote>
  <w:footnote w:id="49">
    <w:p w14:paraId="025D0CE2" w14:textId="77777777" w:rsidR="006E0B44" w:rsidRPr="00674228" w:rsidRDefault="006E0B44" w:rsidP="00136F69">
      <w:pPr>
        <w:widowControl w:val="0"/>
        <w:tabs>
          <w:tab w:val="left" w:pos="220"/>
          <w:tab w:val="left" w:pos="720"/>
        </w:tabs>
        <w:autoSpaceDE w:val="0"/>
        <w:autoSpaceDN w:val="0"/>
        <w:adjustRightInd w:val="0"/>
        <w:rPr>
          <w:rFonts w:asciiTheme="majorHAnsi" w:hAnsiTheme="majorHAnsi" w:cs="Times"/>
          <w:sz w:val="18"/>
          <w:szCs w:val="18"/>
          <w:lang w:val="fr-FR"/>
        </w:rPr>
      </w:pPr>
      <w:r w:rsidRPr="006D6209">
        <w:rPr>
          <w:rStyle w:val="FootnoteReference"/>
          <w:rFonts w:asciiTheme="majorHAnsi" w:hAnsiTheme="majorHAnsi"/>
          <w:sz w:val="18"/>
          <w:szCs w:val="18"/>
        </w:rPr>
        <w:footnoteRef/>
      </w:r>
      <w:r w:rsidRPr="00674228">
        <w:rPr>
          <w:rFonts w:asciiTheme="majorHAnsi" w:hAnsiTheme="majorHAnsi"/>
          <w:sz w:val="18"/>
          <w:szCs w:val="18"/>
          <w:lang w:val="fr-FR"/>
        </w:rPr>
        <w:t xml:space="preserve"> </w:t>
      </w:r>
      <w:r w:rsidRPr="00674228">
        <w:rPr>
          <w:rFonts w:asciiTheme="majorHAnsi" w:hAnsiTheme="majorHAnsi" w:cs="Times New Roman"/>
          <w:sz w:val="18"/>
          <w:szCs w:val="18"/>
          <w:lang w:val="fr-FR"/>
        </w:rPr>
        <w:t xml:space="preserve">Voir Observation générale No. 32. </w:t>
      </w:r>
    </w:p>
  </w:footnote>
  <w:footnote w:id="50">
    <w:p w14:paraId="46C3F97E" w14:textId="77777777" w:rsidR="006E0B44" w:rsidRPr="00674228" w:rsidRDefault="006E0B44" w:rsidP="00136F69">
      <w:pPr>
        <w:widowControl w:val="0"/>
        <w:tabs>
          <w:tab w:val="left" w:pos="220"/>
          <w:tab w:val="left" w:pos="720"/>
        </w:tabs>
        <w:autoSpaceDE w:val="0"/>
        <w:autoSpaceDN w:val="0"/>
        <w:adjustRightInd w:val="0"/>
        <w:rPr>
          <w:rFonts w:asciiTheme="majorHAnsi" w:hAnsiTheme="majorHAnsi" w:cs="Times"/>
          <w:sz w:val="18"/>
          <w:szCs w:val="18"/>
          <w:lang w:val="fr-FR"/>
        </w:rPr>
      </w:pPr>
      <w:r w:rsidRPr="006D6209">
        <w:rPr>
          <w:rStyle w:val="FootnoteReference"/>
          <w:rFonts w:asciiTheme="majorHAnsi" w:hAnsiTheme="majorHAnsi"/>
          <w:sz w:val="18"/>
          <w:szCs w:val="18"/>
        </w:rPr>
        <w:footnoteRef/>
      </w:r>
      <w:r w:rsidRPr="00674228">
        <w:rPr>
          <w:rFonts w:asciiTheme="majorHAnsi" w:hAnsiTheme="majorHAnsi"/>
          <w:sz w:val="18"/>
          <w:szCs w:val="18"/>
          <w:lang w:val="fr-FR"/>
        </w:rPr>
        <w:t xml:space="preserve"> </w:t>
      </w:r>
      <w:r w:rsidRPr="00674228">
        <w:rPr>
          <w:rFonts w:asciiTheme="majorHAnsi" w:hAnsiTheme="majorHAnsi" w:cs="Times New Roman"/>
          <w:sz w:val="18"/>
          <w:szCs w:val="18"/>
          <w:lang w:val="fr-FR"/>
        </w:rPr>
        <w:t xml:space="preserve">Voir communication No. 578/1994, </w:t>
      </w:r>
      <w:r w:rsidRPr="00674228">
        <w:rPr>
          <w:rFonts w:asciiTheme="majorHAnsi" w:hAnsiTheme="majorHAnsi" w:cs="Times"/>
          <w:sz w:val="18"/>
          <w:szCs w:val="18"/>
          <w:lang w:val="fr-FR"/>
        </w:rPr>
        <w:t xml:space="preserve">de </w:t>
      </w:r>
      <w:proofErr w:type="spellStart"/>
      <w:r w:rsidRPr="00674228">
        <w:rPr>
          <w:rFonts w:asciiTheme="majorHAnsi" w:hAnsiTheme="majorHAnsi" w:cs="Times"/>
          <w:sz w:val="18"/>
          <w:szCs w:val="18"/>
          <w:lang w:val="fr-FR"/>
        </w:rPr>
        <w:t>Groot</w:t>
      </w:r>
      <w:proofErr w:type="spellEnd"/>
      <w:r w:rsidRPr="00674228">
        <w:rPr>
          <w:rFonts w:asciiTheme="majorHAnsi" w:hAnsiTheme="majorHAnsi" w:cs="Times"/>
          <w:sz w:val="18"/>
          <w:szCs w:val="18"/>
          <w:lang w:val="fr-FR"/>
        </w:rPr>
        <w:t xml:space="preserve"> c. Pays-Bas</w:t>
      </w:r>
      <w:r w:rsidRPr="00674228">
        <w:rPr>
          <w:rFonts w:asciiTheme="majorHAnsi" w:hAnsiTheme="majorHAnsi" w:cs="Times New Roman"/>
          <w:sz w:val="18"/>
          <w:szCs w:val="18"/>
          <w:lang w:val="fr-FR"/>
        </w:rPr>
        <w:t xml:space="preserve">, Points de vue adoptés le 14 juillet 1995. </w:t>
      </w:r>
      <w:r w:rsidRPr="00674228">
        <w:rPr>
          <w:rFonts w:asciiTheme="majorHAnsi" w:hAnsiTheme="majorHAnsi" w:cs="Times"/>
          <w:sz w:val="18"/>
          <w:szCs w:val="18"/>
          <w:lang w:val="fr-FR"/>
        </w:rPr>
        <w:t> </w:t>
      </w:r>
    </w:p>
  </w:footnote>
  <w:footnote w:id="51">
    <w:p w14:paraId="674723E0" w14:textId="77777777" w:rsidR="006E0B44" w:rsidRPr="00674228" w:rsidRDefault="006E0B44" w:rsidP="00136F69">
      <w:pPr>
        <w:pStyle w:val="FootnoteText"/>
        <w:rPr>
          <w:rFonts w:asciiTheme="majorHAnsi" w:hAnsiTheme="majorHAnsi"/>
          <w:sz w:val="18"/>
          <w:szCs w:val="18"/>
          <w:lang w:val="fr-FR"/>
        </w:rPr>
      </w:pPr>
      <w:r w:rsidRPr="005A6D99">
        <w:rPr>
          <w:rStyle w:val="FootnoteReference"/>
          <w:rFonts w:asciiTheme="majorHAnsi" w:hAnsiTheme="majorHAnsi"/>
          <w:sz w:val="18"/>
          <w:szCs w:val="18"/>
        </w:rPr>
        <w:footnoteRef/>
      </w:r>
      <w:r w:rsidRPr="00674228">
        <w:rPr>
          <w:rFonts w:asciiTheme="majorHAnsi" w:hAnsiTheme="majorHAnsi"/>
          <w:sz w:val="18"/>
          <w:szCs w:val="18"/>
          <w:lang w:val="fr-FR"/>
        </w:rPr>
        <w:t xml:space="preserve"> Observations générale No.27</w:t>
      </w:r>
    </w:p>
  </w:footnote>
  <w:footnote w:id="52">
    <w:p w14:paraId="2F3835B2" w14:textId="77777777" w:rsidR="006E0B44" w:rsidRPr="00674228" w:rsidRDefault="006E0B44" w:rsidP="00136F69">
      <w:pPr>
        <w:pStyle w:val="FootnoteText"/>
        <w:rPr>
          <w:lang w:val="fr-FR"/>
        </w:rPr>
      </w:pPr>
      <w:r>
        <w:rPr>
          <w:rStyle w:val="FootnoteReference"/>
        </w:rPr>
        <w:footnoteRef/>
      </w:r>
      <w:r w:rsidRPr="00674228">
        <w:rPr>
          <w:lang w:val="fr-FR"/>
        </w:rPr>
        <w:t xml:space="preserve"> </w:t>
      </w:r>
      <w:r w:rsidRPr="00674228">
        <w:rPr>
          <w:rFonts w:asciiTheme="majorHAnsi" w:hAnsiTheme="majorHAnsi"/>
          <w:sz w:val="18"/>
          <w:szCs w:val="18"/>
          <w:lang w:val="fr-FR"/>
        </w:rPr>
        <w:t xml:space="preserve">Voir communication No. 488/1992, </w:t>
      </w:r>
      <w:proofErr w:type="spellStart"/>
      <w:r w:rsidRPr="00674228">
        <w:rPr>
          <w:rFonts w:asciiTheme="majorHAnsi" w:hAnsiTheme="majorHAnsi" w:cs="Times"/>
          <w:sz w:val="18"/>
          <w:szCs w:val="18"/>
          <w:lang w:val="fr-FR"/>
        </w:rPr>
        <w:t>Toonen</w:t>
      </w:r>
      <w:proofErr w:type="spellEnd"/>
      <w:r w:rsidRPr="00674228">
        <w:rPr>
          <w:rFonts w:asciiTheme="majorHAnsi" w:hAnsiTheme="majorHAnsi" w:cs="Times"/>
          <w:sz w:val="18"/>
          <w:szCs w:val="18"/>
          <w:lang w:val="fr-FR"/>
        </w:rPr>
        <w:t xml:space="preserve"> c. </w:t>
      </w:r>
      <w:proofErr w:type="spellStart"/>
      <w:r w:rsidRPr="00674228">
        <w:rPr>
          <w:rFonts w:asciiTheme="majorHAnsi" w:hAnsiTheme="majorHAnsi" w:cs="Times"/>
          <w:sz w:val="18"/>
          <w:szCs w:val="18"/>
          <w:lang w:val="fr-FR"/>
        </w:rPr>
        <w:t>Australia</w:t>
      </w:r>
      <w:proofErr w:type="spellEnd"/>
      <w:r w:rsidRPr="00674228">
        <w:rPr>
          <w:rFonts w:asciiTheme="majorHAnsi" w:hAnsiTheme="majorHAnsi"/>
          <w:sz w:val="18"/>
          <w:szCs w:val="18"/>
          <w:lang w:val="fr-FR"/>
        </w:rPr>
        <w:t>, points de vue adoptés le 30 mars 1994</w:t>
      </w:r>
      <w:r w:rsidRPr="00674228">
        <w:rPr>
          <w:lang w:val="fr-FR"/>
        </w:rPr>
        <w:t>.</w:t>
      </w:r>
    </w:p>
  </w:footnote>
  <w:footnote w:id="53">
    <w:p w14:paraId="1A70C808" w14:textId="77777777" w:rsidR="006E0B44" w:rsidRPr="0051146D" w:rsidRDefault="006E0B44" w:rsidP="00136F69">
      <w:pPr>
        <w:pStyle w:val="FootnoteText"/>
        <w:rPr>
          <w:lang w:val="en-US"/>
        </w:rPr>
      </w:pPr>
      <w:r>
        <w:rPr>
          <w:rStyle w:val="FootnoteReference"/>
        </w:rPr>
        <w:footnoteRef/>
      </w:r>
      <w:r w:rsidRPr="00674228">
        <w:rPr>
          <w:lang w:val="fr-FR"/>
        </w:rPr>
        <w:t xml:space="preserve"> </w:t>
      </w:r>
      <w:r w:rsidRPr="00674228">
        <w:rPr>
          <w:rFonts w:asciiTheme="majorHAnsi" w:hAnsiTheme="majorHAnsi"/>
          <w:sz w:val="18"/>
          <w:szCs w:val="18"/>
          <w:lang w:val="fr-FR"/>
        </w:rPr>
        <w:t xml:space="preserve">Observation générale No. 20, </w:t>
      </w:r>
      <w:r w:rsidRPr="00674228">
        <w:rPr>
          <w:rFonts w:asciiTheme="majorHAnsi" w:hAnsiTheme="majorHAnsi" w:cs="Times"/>
          <w:sz w:val="18"/>
          <w:szCs w:val="18"/>
          <w:lang w:val="fr-FR"/>
        </w:rPr>
        <w:t xml:space="preserve">Documents officiels de l'assemblée générale, 47ème session,  Supplément No. 40 (A/47/40), annexe VI, sect. </w:t>
      </w:r>
      <w:r w:rsidRPr="0051146D">
        <w:rPr>
          <w:rFonts w:asciiTheme="majorHAnsi" w:hAnsiTheme="majorHAnsi" w:cs="Times"/>
          <w:sz w:val="18"/>
          <w:szCs w:val="18"/>
        </w:rPr>
        <w:t>A.</w:t>
      </w:r>
    </w:p>
  </w:footnote>
  <w:footnote w:id="54">
    <w:p w14:paraId="73B690A1" w14:textId="77777777" w:rsidR="006E0B44" w:rsidRPr="00674228" w:rsidRDefault="006E0B44" w:rsidP="00136F69">
      <w:pPr>
        <w:widowControl w:val="0"/>
        <w:tabs>
          <w:tab w:val="left" w:pos="220"/>
          <w:tab w:val="left" w:pos="720"/>
        </w:tabs>
        <w:autoSpaceDE w:val="0"/>
        <w:autoSpaceDN w:val="0"/>
        <w:adjustRightInd w:val="0"/>
        <w:rPr>
          <w:rFonts w:asciiTheme="majorHAnsi" w:hAnsiTheme="majorHAnsi" w:cs="Times"/>
          <w:sz w:val="18"/>
          <w:szCs w:val="18"/>
          <w:lang w:val="fr-FR"/>
        </w:rPr>
      </w:pPr>
      <w:r w:rsidRPr="00D75087">
        <w:rPr>
          <w:rStyle w:val="FootnoteReference"/>
          <w:rFonts w:asciiTheme="majorHAnsi" w:hAnsiTheme="majorHAnsi"/>
          <w:sz w:val="18"/>
          <w:szCs w:val="18"/>
        </w:rPr>
        <w:footnoteRef/>
      </w:r>
      <w:r w:rsidRPr="00674228">
        <w:rPr>
          <w:rFonts w:asciiTheme="majorHAnsi" w:hAnsiTheme="majorHAnsi"/>
          <w:sz w:val="18"/>
          <w:szCs w:val="18"/>
          <w:lang w:val="fr-FR"/>
        </w:rPr>
        <w:t xml:space="preserve"> </w:t>
      </w:r>
      <w:r w:rsidRPr="00674228">
        <w:rPr>
          <w:rFonts w:asciiTheme="majorHAnsi" w:hAnsiTheme="majorHAnsi" w:cs="Times New Roman"/>
          <w:sz w:val="18"/>
          <w:szCs w:val="18"/>
          <w:lang w:val="fr-FR"/>
        </w:rPr>
        <w:t xml:space="preserve">Voir communication No. 1180/2003, </w:t>
      </w:r>
      <w:proofErr w:type="spellStart"/>
      <w:r w:rsidRPr="00674228">
        <w:rPr>
          <w:rFonts w:asciiTheme="majorHAnsi" w:hAnsiTheme="majorHAnsi" w:cs="Times"/>
          <w:sz w:val="18"/>
          <w:szCs w:val="18"/>
          <w:lang w:val="fr-FR"/>
        </w:rPr>
        <w:t>Bodrozic</w:t>
      </w:r>
      <w:proofErr w:type="spellEnd"/>
      <w:r w:rsidRPr="00674228">
        <w:rPr>
          <w:rFonts w:asciiTheme="majorHAnsi" w:hAnsiTheme="majorHAnsi" w:cs="Times"/>
          <w:sz w:val="18"/>
          <w:szCs w:val="18"/>
          <w:lang w:val="fr-FR"/>
        </w:rPr>
        <w:t xml:space="preserve"> c. Serbie et </w:t>
      </w:r>
      <w:proofErr w:type="spellStart"/>
      <w:r w:rsidRPr="00674228">
        <w:rPr>
          <w:rFonts w:asciiTheme="majorHAnsi" w:hAnsiTheme="majorHAnsi" w:cs="Times"/>
          <w:sz w:val="18"/>
          <w:szCs w:val="18"/>
          <w:lang w:val="fr-FR"/>
        </w:rPr>
        <w:t>Montenegro</w:t>
      </w:r>
      <w:proofErr w:type="spellEnd"/>
      <w:r w:rsidRPr="00674228">
        <w:rPr>
          <w:rFonts w:asciiTheme="majorHAnsi" w:hAnsiTheme="majorHAnsi" w:cs="Times New Roman"/>
          <w:sz w:val="18"/>
          <w:szCs w:val="18"/>
          <w:lang w:val="fr-FR"/>
        </w:rPr>
        <w:t xml:space="preserve">, Points de vue adoptés le  31 </w:t>
      </w:r>
      <w:r w:rsidRPr="00674228">
        <w:rPr>
          <w:rFonts w:asciiTheme="majorHAnsi" w:hAnsiTheme="majorHAnsi" w:cs="Times"/>
          <w:sz w:val="18"/>
          <w:szCs w:val="18"/>
          <w:lang w:val="fr-FR"/>
        </w:rPr>
        <w:t> </w:t>
      </w:r>
      <w:r w:rsidRPr="00674228">
        <w:rPr>
          <w:rFonts w:asciiTheme="majorHAnsi" w:hAnsiTheme="majorHAnsi" w:cs="Times New Roman"/>
          <w:sz w:val="18"/>
          <w:szCs w:val="18"/>
          <w:lang w:val="fr-FR"/>
        </w:rPr>
        <w:t xml:space="preserve">octobre 2005. </w:t>
      </w:r>
    </w:p>
  </w:footnote>
  <w:footnote w:id="55">
    <w:p w14:paraId="3DD75365" w14:textId="77777777" w:rsidR="006E0B44" w:rsidRPr="00674228" w:rsidRDefault="006E0B44" w:rsidP="00136F69">
      <w:pPr>
        <w:widowControl w:val="0"/>
        <w:tabs>
          <w:tab w:val="left" w:pos="220"/>
          <w:tab w:val="left" w:pos="720"/>
        </w:tabs>
        <w:autoSpaceDE w:val="0"/>
        <w:autoSpaceDN w:val="0"/>
        <w:adjustRightInd w:val="0"/>
        <w:rPr>
          <w:rFonts w:asciiTheme="majorHAnsi" w:hAnsiTheme="majorHAnsi" w:cs="Times"/>
          <w:sz w:val="18"/>
          <w:szCs w:val="18"/>
          <w:lang w:val="fr-FR"/>
        </w:rPr>
      </w:pPr>
      <w:r w:rsidRPr="00D75087">
        <w:rPr>
          <w:rStyle w:val="FootnoteReference"/>
          <w:rFonts w:asciiTheme="majorHAnsi" w:hAnsiTheme="majorHAnsi"/>
          <w:sz w:val="18"/>
          <w:szCs w:val="18"/>
        </w:rPr>
        <w:footnoteRef/>
      </w:r>
      <w:r w:rsidRPr="00674228">
        <w:rPr>
          <w:rFonts w:asciiTheme="majorHAnsi" w:hAnsiTheme="majorHAnsi"/>
          <w:sz w:val="18"/>
          <w:szCs w:val="18"/>
          <w:lang w:val="fr-FR"/>
        </w:rPr>
        <w:t xml:space="preserve"> </w:t>
      </w:r>
      <w:r w:rsidRPr="00674228">
        <w:rPr>
          <w:rFonts w:asciiTheme="majorHAnsi" w:hAnsiTheme="majorHAnsi" w:cs="Times New Roman"/>
          <w:sz w:val="18"/>
          <w:szCs w:val="18"/>
          <w:lang w:val="fr-FR"/>
        </w:rPr>
        <w:t xml:space="preserve">Observation générale No. 27, para. 14. Voir aussi les communications No. 1128/2002, </w:t>
      </w:r>
      <w:r w:rsidRPr="00674228">
        <w:rPr>
          <w:rFonts w:asciiTheme="majorHAnsi" w:hAnsiTheme="majorHAnsi" w:cs="Times"/>
          <w:sz w:val="18"/>
          <w:szCs w:val="18"/>
          <w:lang w:val="fr-FR"/>
        </w:rPr>
        <w:t>Marques c. Angola</w:t>
      </w:r>
      <w:r w:rsidRPr="00674228">
        <w:rPr>
          <w:rFonts w:asciiTheme="majorHAnsi" w:hAnsiTheme="majorHAnsi" w:cs="Times New Roman"/>
          <w:sz w:val="18"/>
          <w:szCs w:val="18"/>
          <w:lang w:val="fr-FR"/>
        </w:rPr>
        <w:t xml:space="preserve">; </w:t>
      </w:r>
      <w:r w:rsidRPr="00674228">
        <w:rPr>
          <w:rFonts w:asciiTheme="majorHAnsi" w:hAnsiTheme="majorHAnsi" w:cs="Times"/>
          <w:sz w:val="18"/>
          <w:szCs w:val="18"/>
          <w:lang w:val="fr-FR"/>
        </w:rPr>
        <w:t> </w:t>
      </w:r>
      <w:r w:rsidRPr="00674228">
        <w:rPr>
          <w:rFonts w:asciiTheme="majorHAnsi" w:hAnsiTheme="majorHAnsi" w:cs="Times New Roman"/>
          <w:sz w:val="18"/>
          <w:szCs w:val="18"/>
          <w:lang w:val="fr-FR"/>
        </w:rPr>
        <w:t xml:space="preserve">No. 1157/2003, </w:t>
      </w:r>
      <w:r w:rsidRPr="00674228">
        <w:rPr>
          <w:rFonts w:asciiTheme="majorHAnsi" w:hAnsiTheme="majorHAnsi" w:cs="Times"/>
          <w:sz w:val="18"/>
          <w:szCs w:val="18"/>
          <w:lang w:val="fr-FR"/>
        </w:rPr>
        <w:t>Coleman c. Australie</w:t>
      </w:r>
      <w:r w:rsidRPr="00674228">
        <w:rPr>
          <w:rFonts w:asciiTheme="majorHAnsi" w:hAnsiTheme="majorHAnsi" w:cs="Times New Roman"/>
          <w:sz w:val="18"/>
          <w:szCs w:val="18"/>
          <w:lang w:val="fr-FR"/>
        </w:rPr>
        <w:t xml:space="preserve">. </w:t>
      </w:r>
      <w:r w:rsidRPr="00674228">
        <w:rPr>
          <w:rFonts w:asciiTheme="majorHAnsi" w:hAnsiTheme="majorHAnsi" w:cs="Times"/>
          <w:sz w:val="18"/>
          <w:szCs w:val="18"/>
          <w:lang w:val="fr-FR"/>
        </w:rPr>
        <w:t>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437E8" w14:textId="77777777" w:rsidR="006E0B44" w:rsidRDefault="006E0B44">
    <w:pPr>
      <w:pStyle w:val="Header"/>
    </w:pPr>
    <w:r w:rsidRPr="00315B90">
      <w:rPr>
        <w:noProof/>
        <w:lang w:eastAsia="en-US"/>
      </w:rPr>
      <w:drawing>
        <wp:inline distT="0" distB="0" distL="0" distR="0" wp14:anchorId="53BA2245" wp14:editId="26C19193">
          <wp:extent cx="5031463" cy="720943"/>
          <wp:effectExtent l="0" t="0" r="0" b="0"/>
          <wp:docPr id="1" name="Picture 1" descr="C:\Users\bach\OneDrive\Documents\Columbia research\globalfreedom-logos-noglobe\NoGlobe NoAt\globalfreedom-logo-noGlobe-n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ch\OneDrive\Documents\Columbia research\globalfreedom-logos-noglobe\NoGlobe NoAt\globalfreedom-logo-noGlobe-noA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1463" cy="72094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176B27"/>
    <w:multiLevelType w:val="hybridMultilevel"/>
    <w:tmpl w:val="194A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3145F"/>
    <w:multiLevelType w:val="hybridMultilevel"/>
    <w:tmpl w:val="76C2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02248"/>
    <w:multiLevelType w:val="hybridMultilevel"/>
    <w:tmpl w:val="9B38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52A84"/>
    <w:multiLevelType w:val="hybridMultilevel"/>
    <w:tmpl w:val="6E6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C5526"/>
    <w:multiLevelType w:val="hybridMultilevel"/>
    <w:tmpl w:val="108C0FB4"/>
    <w:lvl w:ilvl="0" w:tplc="0409000F">
      <w:start w:val="1"/>
      <w:numFmt w:val="decimal"/>
      <w:lvlText w:val="%1."/>
      <w:lvlJc w:val="left"/>
      <w:pPr>
        <w:ind w:left="720" w:hanging="360"/>
      </w:pPr>
    </w:lvl>
    <w:lvl w:ilvl="1" w:tplc="AFCCA6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76330"/>
    <w:multiLevelType w:val="hybridMultilevel"/>
    <w:tmpl w:val="F9166B36"/>
    <w:lvl w:ilvl="0" w:tplc="78840480">
      <w:start w:val="1"/>
      <w:numFmt w:val="decimal"/>
      <w:lvlText w:val="%1."/>
      <w:lvlJc w:val="left"/>
      <w:pPr>
        <w:tabs>
          <w:tab w:val="num" w:pos="720"/>
        </w:tabs>
        <w:ind w:left="720" w:hanging="360"/>
      </w:pPr>
    </w:lvl>
    <w:lvl w:ilvl="1" w:tplc="DA44FCE0" w:tentative="1">
      <w:start w:val="1"/>
      <w:numFmt w:val="decimal"/>
      <w:lvlText w:val="%2."/>
      <w:lvlJc w:val="left"/>
      <w:pPr>
        <w:tabs>
          <w:tab w:val="num" w:pos="1440"/>
        </w:tabs>
        <w:ind w:left="1440" w:hanging="360"/>
      </w:pPr>
    </w:lvl>
    <w:lvl w:ilvl="2" w:tplc="EAF45A3A" w:tentative="1">
      <w:start w:val="1"/>
      <w:numFmt w:val="decimal"/>
      <w:lvlText w:val="%3."/>
      <w:lvlJc w:val="left"/>
      <w:pPr>
        <w:tabs>
          <w:tab w:val="num" w:pos="2160"/>
        </w:tabs>
        <w:ind w:left="2160" w:hanging="360"/>
      </w:pPr>
    </w:lvl>
    <w:lvl w:ilvl="3" w:tplc="C0D8B360" w:tentative="1">
      <w:start w:val="1"/>
      <w:numFmt w:val="decimal"/>
      <w:lvlText w:val="%4."/>
      <w:lvlJc w:val="left"/>
      <w:pPr>
        <w:tabs>
          <w:tab w:val="num" w:pos="2880"/>
        </w:tabs>
        <w:ind w:left="2880" w:hanging="360"/>
      </w:pPr>
    </w:lvl>
    <w:lvl w:ilvl="4" w:tplc="0988FBF8" w:tentative="1">
      <w:start w:val="1"/>
      <w:numFmt w:val="decimal"/>
      <w:lvlText w:val="%5."/>
      <w:lvlJc w:val="left"/>
      <w:pPr>
        <w:tabs>
          <w:tab w:val="num" w:pos="3600"/>
        </w:tabs>
        <w:ind w:left="3600" w:hanging="360"/>
      </w:pPr>
    </w:lvl>
    <w:lvl w:ilvl="5" w:tplc="EDBAB714" w:tentative="1">
      <w:start w:val="1"/>
      <w:numFmt w:val="decimal"/>
      <w:lvlText w:val="%6."/>
      <w:lvlJc w:val="left"/>
      <w:pPr>
        <w:tabs>
          <w:tab w:val="num" w:pos="4320"/>
        </w:tabs>
        <w:ind w:left="4320" w:hanging="360"/>
      </w:pPr>
    </w:lvl>
    <w:lvl w:ilvl="6" w:tplc="FD2C2AB4" w:tentative="1">
      <w:start w:val="1"/>
      <w:numFmt w:val="decimal"/>
      <w:lvlText w:val="%7."/>
      <w:lvlJc w:val="left"/>
      <w:pPr>
        <w:tabs>
          <w:tab w:val="num" w:pos="5040"/>
        </w:tabs>
        <w:ind w:left="5040" w:hanging="360"/>
      </w:pPr>
    </w:lvl>
    <w:lvl w:ilvl="7" w:tplc="AB2E819E" w:tentative="1">
      <w:start w:val="1"/>
      <w:numFmt w:val="decimal"/>
      <w:lvlText w:val="%8."/>
      <w:lvlJc w:val="left"/>
      <w:pPr>
        <w:tabs>
          <w:tab w:val="num" w:pos="5760"/>
        </w:tabs>
        <w:ind w:left="5760" w:hanging="360"/>
      </w:pPr>
    </w:lvl>
    <w:lvl w:ilvl="8" w:tplc="F9E21522" w:tentative="1">
      <w:start w:val="1"/>
      <w:numFmt w:val="decimal"/>
      <w:lvlText w:val="%9."/>
      <w:lvlJc w:val="left"/>
      <w:pPr>
        <w:tabs>
          <w:tab w:val="num" w:pos="6480"/>
        </w:tabs>
        <w:ind w:left="6480" w:hanging="360"/>
      </w:pPr>
    </w:lvl>
  </w:abstractNum>
  <w:abstractNum w:abstractNumId="7">
    <w:nsid w:val="1DD65801"/>
    <w:multiLevelType w:val="hybridMultilevel"/>
    <w:tmpl w:val="E95E388A"/>
    <w:lvl w:ilvl="0" w:tplc="57A27AE0">
      <w:start w:val="1"/>
      <w:numFmt w:val="bullet"/>
      <w:lvlText w:val="•"/>
      <w:lvlJc w:val="left"/>
      <w:pPr>
        <w:tabs>
          <w:tab w:val="num" w:pos="720"/>
        </w:tabs>
        <w:ind w:left="720" w:hanging="360"/>
      </w:pPr>
      <w:rPr>
        <w:rFonts w:ascii="Arial" w:hAnsi="Arial" w:hint="default"/>
      </w:rPr>
    </w:lvl>
    <w:lvl w:ilvl="1" w:tplc="5888CA52" w:tentative="1">
      <w:start w:val="1"/>
      <w:numFmt w:val="bullet"/>
      <w:lvlText w:val="•"/>
      <w:lvlJc w:val="left"/>
      <w:pPr>
        <w:tabs>
          <w:tab w:val="num" w:pos="1440"/>
        </w:tabs>
        <w:ind w:left="1440" w:hanging="360"/>
      </w:pPr>
      <w:rPr>
        <w:rFonts w:ascii="Arial" w:hAnsi="Arial" w:hint="default"/>
      </w:rPr>
    </w:lvl>
    <w:lvl w:ilvl="2" w:tplc="310855D4" w:tentative="1">
      <w:start w:val="1"/>
      <w:numFmt w:val="bullet"/>
      <w:lvlText w:val="•"/>
      <w:lvlJc w:val="left"/>
      <w:pPr>
        <w:tabs>
          <w:tab w:val="num" w:pos="2160"/>
        </w:tabs>
        <w:ind w:left="2160" w:hanging="360"/>
      </w:pPr>
      <w:rPr>
        <w:rFonts w:ascii="Arial" w:hAnsi="Arial" w:hint="default"/>
      </w:rPr>
    </w:lvl>
    <w:lvl w:ilvl="3" w:tplc="076C062E" w:tentative="1">
      <w:start w:val="1"/>
      <w:numFmt w:val="bullet"/>
      <w:lvlText w:val="•"/>
      <w:lvlJc w:val="left"/>
      <w:pPr>
        <w:tabs>
          <w:tab w:val="num" w:pos="2880"/>
        </w:tabs>
        <w:ind w:left="2880" w:hanging="360"/>
      </w:pPr>
      <w:rPr>
        <w:rFonts w:ascii="Arial" w:hAnsi="Arial" w:hint="default"/>
      </w:rPr>
    </w:lvl>
    <w:lvl w:ilvl="4" w:tplc="7CEE341A" w:tentative="1">
      <w:start w:val="1"/>
      <w:numFmt w:val="bullet"/>
      <w:lvlText w:val="•"/>
      <w:lvlJc w:val="left"/>
      <w:pPr>
        <w:tabs>
          <w:tab w:val="num" w:pos="3600"/>
        </w:tabs>
        <w:ind w:left="3600" w:hanging="360"/>
      </w:pPr>
      <w:rPr>
        <w:rFonts w:ascii="Arial" w:hAnsi="Arial" w:hint="default"/>
      </w:rPr>
    </w:lvl>
    <w:lvl w:ilvl="5" w:tplc="1D6032AC" w:tentative="1">
      <w:start w:val="1"/>
      <w:numFmt w:val="bullet"/>
      <w:lvlText w:val="•"/>
      <w:lvlJc w:val="left"/>
      <w:pPr>
        <w:tabs>
          <w:tab w:val="num" w:pos="4320"/>
        </w:tabs>
        <w:ind w:left="4320" w:hanging="360"/>
      </w:pPr>
      <w:rPr>
        <w:rFonts w:ascii="Arial" w:hAnsi="Arial" w:hint="default"/>
      </w:rPr>
    </w:lvl>
    <w:lvl w:ilvl="6" w:tplc="3AB22B1E" w:tentative="1">
      <w:start w:val="1"/>
      <w:numFmt w:val="bullet"/>
      <w:lvlText w:val="•"/>
      <w:lvlJc w:val="left"/>
      <w:pPr>
        <w:tabs>
          <w:tab w:val="num" w:pos="5040"/>
        </w:tabs>
        <w:ind w:left="5040" w:hanging="360"/>
      </w:pPr>
      <w:rPr>
        <w:rFonts w:ascii="Arial" w:hAnsi="Arial" w:hint="default"/>
      </w:rPr>
    </w:lvl>
    <w:lvl w:ilvl="7" w:tplc="6B424CB6" w:tentative="1">
      <w:start w:val="1"/>
      <w:numFmt w:val="bullet"/>
      <w:lvlText w:val="•"/>
      <w:lvlJc w:val="left"/>
      <w:pPr>
        <w:tabs>
          <w:tab w:val="num" w:pos="5760"/>
        </w:tabs>
        <w:ind w:left="5760" w:hanging="360"/>
      </w:pPr>
      <w:rPr>
        <w:rFonts w:ascii="Arial" w:hAnsi="Arial" w:hint="default"/>
      </w:rPr>
    </w:lvl>
    <w:lvl w:ilvl="8" w:tplc="570017BA" w:tentative="1">
      <w:start w:val="1"/>
      <w:numFmt w:val="bullet"/>
      <w:lvlText w:val="•"/>
      <w:lvlJc w:val="left"/>
      <w:pPr>
        <w:tabs>
          <w:tab w:val="num" w:pos="6480"/>
        </w:tabs>
        <w:ind w:left="6480" w:hanging="360"/>
      </w:pPr>
      <w:rPr>
        <w:rFonts w:ascii="Arial" w:hAnsi="Arial" w:hint="default"/>
      </w:rPr>
    </w:lvl>
  </w:abstractNum>
  <w:abstractNum w:abstractNumId="8">
    <w:nsid w:val="20F0439B"/>
    <w:multiLevelType w:val="hybridMultilevel"/>
    <w:tmpl w:val="85AEF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4069E5"/>
    <w:multiLevelType w:val="hybridMultilevel"/>
    <w:tmpl w:val="2CCE3512"/>
    <w:lvl w:ilvl="0" w:tplc="EA74EAFA">
      <w:start w:val="1"/>
      <w:numFmt w:val="decimal"/>
      <w:lvlText w:val="%1."/>
      <w:lvlJc w:val="left"/>
      <w:pPr>
        <w:ind w:left="720" w:hanging="360"/>
      </w:pPr>
      <w:rPr>
        <w:rFonts w:cs="Verdana" w:hint="default"/>
        <w:color w:val="1717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D53AB1"/>
    <w:multiLevelType w:val="hybridMultilevel"/>
    <w:tmpl w:val="8B7A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190FEF"/>
    <w:multiLevelType w:val="hybridMultilevel"/>
    <w:tmpl w:val="03900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533718"/>
    <w:multiLevelType w:val="hybridMultilevel"/>
    <w:tmpl w:val="B840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270B1D"/>
    <w:multiLevelType w:val="hybridMultilevel"/>
    <w:tmpl w:val="F794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7D7726"/>
    <w:multiLevelType w:val="hybridMultilevel"/>
    <w:tmpl w:val="6598EBEE"/>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5161B4"/>
    <w:multiLevelType w:val="hybridMultilevel"/>
    <w:tmpl w:val="E342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D2795D"/>
    <w:multiLevelType w:val="hybridMultilevel"/>
    <w:tmpl w:val="5BDA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28131C"/>
    <w:multiLevelType w:val="hybridMultilevel"/>
    <w:tmpl w:val="7EC0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337BFA"/>
    <w:multiLevelType w:val="hybridMultilevel"/>
    <w:tmpl w:val="F9444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7A775D"/>
    <w:multiLevelType w:val="hybridMultilevel"/>
    <w:tmpl w:val="EB7A5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096B02"/>
    <w:multiLevelType w:val="hybridMultilevel"/>
    <w:tmpl w:val="14985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2"/>
  </w:num>
  <w:num w:numId="4">
    <w:abstractNumId w:val="0"/>
  </w:num>
  <w:num w:numId="5">
    <w:abstractNumId w:val="10"/>
  </w:num>
  <w:num w:numId="6">
    <w:abstractNumId w:val="4"/>
  </w:num>
  <w:num w:numId="7">
    <w:abstractNumId w:val="8"/>
  </w:num>
  <w:num w:numId="8">
    <w:abstractNumId w:val="5"/>
  </w:num>
  <w:num w:numId="9">
    <w:abstractNumId w:val="20"/>
  </w:num>
  <w:num w:numId="10">
    <w:abstractNumId w:val="16"/>
  </w:num>
  <w:num w:numId="11">
    <w:abstractNumId w:val="17"/>
  </w:num>
  <w:num w:numId="12">
    <w:abstractNumId w:val="7"/>
  </w:num>
  <w:num w:numId="13">
    <w:abstractNumId w:val="1"/>
  </w:num>
  <w:num w:numId="14">
    <w:abstractNumId w:val="6"/>
  </w:num>
  <w:num w:numId="15">
    <w:abstractNumId w:val="9"/>
  </w:num>
  <w:num w:numId="16">
    <w:abstractNumId w:val="3"/>
  </w:num>
  <w:num w:numId="17">
    <w:abstractNumId w:val="18"/>
  </w:num>
  <w:num w:numId="18">
    <w:abstractNumId w:val="15"/>
  </w:num>
  <w:num w:numId="19">
    <w:abstractNumId w:val="14"/>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FC"/>
    <w:rsid w:val="00017F9D"/>
    <w:rsid w:val="0003035C"/>
    <w:rsid w:val="00041C4C"/>
    <w:rsid w:val="00093C84"/>
    <w:rsid w:val="000B1B64"/>
    <w:rsid w:val="000B4EBC"/>
    <w:rsid w:val="000B5A69"/>
    <w:rsid w:val="000D187E"/>
    <w:rsid w:val="00136F69"/>
    <w:rsid w:val="00152616"/>
    <w:rsid w:val="0019600D"/>
    <w:rsid w:val="001A550E"/>
    <w:rsid w:val="001C7A13"/>
    <w:rsid w:val="001D003D"/>
    <w:rsid w:val="00205AC7"/>
    <w:rsid w:val="002321CE"/>
    <w:rsid w:val="00241D2A"/>
    <w:rsid w:val="002438A9"/>
    <w:rsid w:val="00265CC5"/>
    <w:rsid w:val="00272F1D"/>
    <w:rsid w:val="00280CFF"/>
    <w:rsid w:val="00286FC4"/>
    <w:rsid w:val="002A23B8"/>
    <w:rsid w:val="002B0D7B"/>
    <w:rsid w:val="002B7E5C"/>
    <w:rsid w:val="002C09AF"/>
    <w:rsid w:val="002E501A"/>
    <w:rsid w:val="002F0AFF"/>
    <w:rsid w:val="00320F8B"/>
    <w:rsid w:val="003307DE"/>
    <w:rsid w:val="00343BCA"/>
    <w:rsid w:val="0034695E"/>
    <w:rsid w:val="0035420E"/>
    <w:rsid w:val="0035597E"/>
    <w:rsid w:val="00362877"/>
    <w:rsid w:val="003752AE"/>
    <w:rsid w:val="0038014C"/>
    <w:rsid w:val="00390EE0"/>
    <w:rsid w:val="003C4FCB"/>
    <w:rsid w:val="003D1897"/>
    <w:rsid w:val="003E30D4"/>
    <w:rsid w:val="00406402"/>
    <w:rsid w:val="00422DDE"/>
    <w:rsid w:val="004351AA"/>
    <w:rsid w:val="0044104C"/>
    <w:rsid w:val="004609A7"/>
    <w:rsid w:val="0046642E"/>
    <w:rsid w:val="0047018F"/>
    <w:rsid w:val="00490F17"/>
    <w:rsid w:val="004A14AF"/>
    <w:rsid w:val="004B3AF0"/>
    <w:rsid w:val="004D0EA5"/>
    <w:rsid w:val="004D1964"/>
    <w:rsid w:val="00523067"/>
    <w:rsid w:val="00533BF2"/>
    <w:rsid w:val="00536DFE"/>
    <w:rsid w:val="00541F5E"/>
    <w:rsid w:val="00552C09"/>
    <w:rsid w:val="005630F4"/>
    <w:rsid w:val="00565266"/>
    <w:rsid w:val="00573FEF"/>
    <w:rsid w:val="005743D7"/>
    <w:rsid w:val="00584866"/>
    <w:rsid w:val="005918F5"/>
    <w:rsid w:val="005921E2"/>
    <w:rsid w:val="005972FF"/>
    <w:rsid w:val="005D199F"/>
    <w:rsid w:val="005D2DDB"/>
    <w:rsid w:val="005E14E8"/>
    <w:rsid w:val="00603920"/>
    <w:rsid w:val="006070AF"/>
    <w:rsid w:val="0061069B"/>
    <w:rsid w:val="006108E8"/>
    <w:rsid w:val="00611A0F"/>
    <w:rsid w:val="00613B3A"/>
    <w:rsid w:val="00613EF4"/>
    <w:rsid w:val="00633EFC"/>
    <w:rsid w:val="00656CFD"/>
    <w:rsid w:val="00656DAD"/>
    <w:rsid w:val="006675FB"/>
    <w:rsid w:val="00674228"/>
    <w:rsid w:val="00676380"/>
    <w:rsid w:val="00681C19"/>
    <w:rsid w:val="00682AA4"/>
    <w:rsid w:val="00686233"/>
    <w:rsid w:val="0069088C"/>
    <w:rsid w:val="0069133B"/>
    <w:rsid w:val="006A1D9F"/>
    <w:rsid w:val="006A20CD"/>
    <w:rsid w:val="006B0DC6"/>
    <w:rsid w:val="006B4FD8"/>
    <w:rsid w:val="006D6209"/>
    <w:rsid w:val="006E0B44"/>
    <w:rsid w:val="00733E07"/>
    <w:rsid w:val="00746DAE"/>
    <w:rsid w:val="0076516B"/>
    <w:rsid w:val="007716E9"/>
    <w:rsid w:val="0079455F"/>
    <w:rsid w:val="007A7C45"/>
    <w:rsid w:val="007B0992"/>
    <w:rsid w:val="007B3B90"/>
    <w:rsid w:val="007C1C31"/>
    <w:rsid w:val="007C7274"/>
    <w:rsid w:val="007D2662"/>
    <w:rsid w:val="007E375C"/>
    <w:rsid w:val="00801E58"/>
    <w:rsid w:val="00806429"/>
    <w:rsid w:val="00814DBA"/>
    <w:rsid w:val="008429B8"/>
    <w:rsid w:val="00842C0D"/>
    <w:rsid w:val="00845F49"/>
    <w:rsid w:val="00851E0C"/>
    <w:rsid w:val="00864117"/>
    <w:rsid w:val="00883EA5"/>
    <w:rsid w:val="008956AE"/>
    <w:rsid w:val="00895A91"/>
    <w:rsid w:val="008A2CE8"/>
    <w:rsid w:val="008C0C38"/>
    <w:rsid w:val="008C53A9"/>
    <w:rsid w:val="008C58CD"/>
    <w:rsid w:val="008D295F"/>
    <w:rsid w:val="008D3A17"/>
    <w:rsid w:val="008E02D4"/>
    <w:rsid w:val="00915A38"/>
    <w:rsid w:val="00956162"/>
    <w:rsid w:val="009643BD"/>
    <w:rsid w:val="00976042"/>
    <w:rsid w:val="009B5220"/>
    <w:rsid w:val="009C57C2"/>
    <w:rsid w:val="009C7692"/>
    <w:rsid w:val="009D576B"/>
    <w:rsid w:val="009E1682"/>
    <w:rsid w:val="00A00F42"/>
    <w:rsid w:val="00A02C69"/>
    <w:rsid w:val="00A2123C"/>
    <w:rsid w:val="00A64AB2"/>
    <w:rsid w:val="00A664CD"/>
    <w:rsid w:val="00A769A0"/>
    <w:rsid w:val="00A76BFE"/>
    <w:rsid w:val="00A83B70"/>
    <w:rsid w:val="00A953E7"/>
    <w:rsid w:val="00AC23C2"/>
    <w:rsid w:val="00B0579B"/>
    <w:rsid w:val="00B107FC"/>
    <w:rsid w:val="00B11F4B"/>
    <w:rsid w:val="00B12796"/>
    <w:rsid w:val="00B17125"/>
    <w:rsid w:val="00B20722"/>
    <w:rsid w:val="00B237CF"/>
    <w:rsid w:val="00B3209D"/>
    <w:rsid w:val="00B518C4"/>
    <w:rsid w:val="00B51E1F"/>
    <w:rsid w:val="00B53ADC"/>
    <w:rsid w:val="00B5600E"/>
    <w:rsid w:val="00B628E1"/>
    <w:rsid w:val="00B801C7"/>
    <w:rsid w:val="00B826D1"/>
    <w:rsid w:val="00B93841"/>
    <w:rsid w:val="00BC1769"/>
    <w:rsid w:val="00BC3FE3"/>
    <w:rsid w:val="00BD1F00"/>
    <w:rsid w:val="00BE5210"/>
    <w:rsid w:val="00BE616B"/>
    <w:rsid w:val="00BE7803"/>
    <w:rsid w:val="00BF0EB3"/>
    <w:rsid w:val="00BF1263"/>
    <w:rsid w:val="00C0089A"/>
    <w:rsid w:val="00C10968"/>
    <w:rsid w:val="00C148D9"/>
    <w:rsid w:val="00C21127"/>
    <w:rsid w:val="00C46469"/>
    <w:rsid w:val="00C63513"/>
    <w:rsid w:val="00C7531D"/>
    <w:rsid w:val="00C8551E"/>
    <w:rsid w:val="00CA2083"/>
    <w:rsid w:val="00CA5133"/>
    <w:rsid w:val="00CA52FD"/>
    <w:rsid w:val="00CB47C9"/>
    <w:rsid w:val="00CB74B1"/>
    <w:rsid w:val="00CF23AF"/>
    <w:rsid w:val="00CF478C"/>
    <w:rsid w:val="00CF72A2"/>
    <w:rsid w:val="00D008B6"/>
    <w:rsid w:val="00D12526"/>
    <w:rsid w:val="00D17A1A"/>
    <w:rsid w:val="00D27B60"/>
    <w:rsid w:val="00D51148"/>
    <w:rsid w:val="00D54EDE"/>
    <w:rsid w:val="00D60546"/>
    <w:rsid w:val="00D727BE"/>
    <w:rsid w:val="00D81F88"/>
    <w:rsid w:val="00D82E92"/>
    <w:rsid w:val="00DB35B4"/>
    <w:rsid w:val="00E22777"/>
    <w:rsid w:val="00E302C3"/>
    <w:rsid w:val="00E5569C"/>
    <w:rsid w:val="00E6215F"/>
    <w:rsid w:val="00E74734"/>
    <w:rsid w:val="00E83314"/>
    <w:rsid w:val="00EA025F"/>
    <w:rsid w:val="00EA2A9A"/>
    <w:rsid w:val="00EA3516"/>
    <w:rsid w:val="00EC7CC0"/>
    <w:rsid w:val="00ED2FEA"/>
    <w:rsid w:val="00EE0619"/>
    <w:rsid w:val="00F015DD"/>
    <w:rsid w:val="00F072D6"/>
    <w:rsid w:val="00F210A3"/>
    <w:rsid w:val="00F26A7A"/>
    <w:rsid w:val="00F3130C"/>
    <w:rsid w:val="00F3697C"/>
    <w:rsid w:val="00F43897"/>
    <w:rsid w:val="00F64EBC"/>
    <w:rsid w:val="00F7214B"/>
    <w:rsid w:val="00F7590C"/>
    <w:rsid w:val="00F93E8F"/>
    <w:rsid w:val="00FA3108"/>
    <w:rsid w:val="00FB0A9D"/>
    <w:rsid w:val="00FB2570"/>
    <w:rsid w:val="00FF068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style="mso-width-relative:margin;mso-height-relative:margin" fillcolor="none [2405]" stroke="f">
      <v:fill color="none [2405]"/>
      <v:stroke on="f"/>
    </o:shapedefaults>
    <o:shapelayout v:ext="edit">
      <o:idmap v:ext="edit" data="1"/>
    </o:shapelayout>
  </w:shapeDefaults>
  <w:decimalSymbol w:val="."/>
  <w:listSeparator w:val=","/>
  <w14:docId w14:val="3832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EA5"/>
    <w:pPr>
      <w:ind w:left="720"/>
      <w:contextualSpacing/>
    </w:pPr>
  </w:style>
  <w:style w:type="paragraph" w:styleId="FootnoteText">
    <w:name w:val="footnote text"/>
    <w:aliases w:val="Footnote Text Char Char,Char,Footnote Text1 Char,5_G, Char Char,Footnote reference,FA Fu,Footnote Text Char Char Char Char Char,Footnote Text Char Char Char Char,Texto nota pie Car Car,poznppMV,fn"/>
    <w:basedOn w:val="Normal"/>
    <w:link w:val="FootnoteTextChar"/>
    <w:uiPriority w:val="99"/>
    <w:unhideWhenUsed/>
    <w:qFormat/>
    <w:rsid w:val="00205AC7"/>
    <w:rPr>
      <w:rFonts w:ascii="Georgia" w:hAnsi="Georgia" w:cs="Times New Roman"/>
      <w:sz w:val="22"/>
      <w:lang w:val="en-GB"/>
    </w:rPr>
  </w:style>
  <w:style w:type="character" w:customStyle="1" w:styleId="FootnoteTextChar">
    <w:name w:val="Footnote Text Char"/>
    <w:aliases w:val="Footnote Text Char Char Char,Char Char,Footnote Text1 Char Char,5_G Char, Char Char Char,Footnote reference Char,FA Fu Char,Footnote Text Char Char Char Char Char Char,Footnote Text Char Char Char Char Char1,poznppMV Char,fn Char"/>
    <w:basedOn w:val="DefaultParagraphFont"/>
    <w:link w:val="FootnoteText"/>
    <w:uiPriority w:val="99"/>
    <w:rsid w:val="00205AC7"/>
    <w:rPr>
      <w:rFonts w:ascii="Georgia" w:hAnsi="Georgia" w:cs="Times New Roman"/>
      <w:sz w:val="22"/>
      <w:lang w:val="en-GB" w:eastAsia="ja-JP"/>
    </w:rPr>
  </w:style>
  <w:style w:type="character" w:styleId="FootnoteReference">
    <w:name w:val="footnote reference"/>
    <w:aliases w:val="Footnote Reference + Superscript,4_G,ftref,Footnotes refss,Footnote Ref,16 Point,Superscript 6 Point,Footnote Refernece,Footnote number,Appel note de bas de p."/>
    <w:basedOn w:val="DefaultParagraphFont"/>
    <w:uiPriority w:val="99"/>
    <w:unhideWhenUsed/>
    <w:rsid w:val="00205AC7"/>
    <w:rPr>
      <w:vertAlign w:val="superscript"/>
    </w:rPr>
  </w:style>
  <w:style w:type="character" w:customStyle="1" w:styleId="s7d2086b4">
    <w:name w:val="s7d2086b4"/>
    <w:basedOn w:val="DefaultParagraphFont"/>
    <w:rsid w:val="00801E58"/>
  </w:style>
  <w:style w:type="paragraph" w:styleId="Header">
    <w:name w:val="header"/>
    <w:basedOn w:val="Normal"/>
    <w:link w:val="HeaderChar"/>
    <w:uiPriority w:val="99"/>
    <w:unhideWhenUsed/>
    <w:rsid w:val="00ED2FEA"/>
    <w:pPr>
      <w:tabs>
        <w:tab w:val="center" w:pos="4320"/>
        <w:tab w:val="right" w:pos="8640"/>
      </w:tabs>
    </w:pPr>
  </w:style>
  <w:style w:type="character" w:customStyle="1" w:styleId="HeaderChar">
    <w:name w:val="Header Char"/>
    <w:basedOn w:val="DefaultParagraphFont"/>
    <w:link w:val="Header"/>
    <w:uiPriority w:val="99"/>
    <w:rsid w:val="00ED2FEA"/>
  </w:style>
  <w:style w:type="paragraph" w:styleId="Footer">
    <w:name w:val="footer"/>
    <w:basedOn w:val="Normal"/>
    <w:link w:val="FooterChar"/>
    <w:uiPriority w:val="99"/>
    <w:unhideWhenUsed/>
    <w:rsid w:val="00ED2FEA"/>
    <w:pPr>
      <w:tabs>
        <w:tab w:val="center" w:pos="4320"/>
        <w:tab w:val="right" w:pos="8640"/>
      </w:tabs>
    </w:pPr>
  </w:style>
  <w:style w:type="character" w:customStyle="1" w:styleId="FooterChar">
    <w:name w:val="Footer Char"/>
    <w:basedOn w:val="DefaultParagraphFont"/>
    <w:link w:val="Footer"/>
    <w:uiPriority w:val="99"/>
    <w:rsid w:val="00ED2FEA"/>
  </w:style>
  <w:style w:type="paragraph" w:styleId="BalloonText">
    <w:name w:val="Balloon Text"/>
    <w:basedOn w:val="Normal"/>
    <w:link w:val="BalloonTextChar"/>
    <w:uiPriority w:val="99"/>
    <w:semiHidden/>
    <w:unhideWhenUsed/>
    <w:rsid w:val="00ED2F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2FEA"/>
    <w:rPr>
      <w:rFonts w:ascii="Lucida Grande" w:hAnsi="Lucida Grande" w:cs="Lucida Grande"/>
      <w:sz w:val="18"/>
      <w:szCs w:val="18"/>
    </w:rPr>
  </w:style>
  <w:style w:type="character" w:styleId="Hyperlink">
    <w:name w:val="Hyperlink"/>
    <w:basedOn w:val="DefaultParagraphFont"/>
    <w:uiPriority w:val="99"/>
    <w:unhideWhenUsed/>
    <w:rsid w:val="0047018F"/>
    <w:rPr>
      <w:color w:val="0000FF" w:themeColor="hyperlink"/>
      <w:u w:val="single"/>
    </w:rPr>
  </w:style>
  <w:style w:type="paragraph" w:styleId="NormalWeb">
    <w:name w:val="Normal (Web)"/>
    <w:basedOn w:val="Normal"/>
    <w:uiPriority w:val="99"/>
    <w:unhideWhenUsed/>
    <w:rsid w:val="00A2123C"/>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6B0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gleTxtG">
    <w:name w:val="_ Single Txt_G"/>
    <w:basedOn w:val="Normal"/>
    <w:rsid w:val="001D003D"/>
    <w:pPr>
      <w:suppressAutoHyphens/>
      <w:spacing w:after="120" w:line="240" w:lineRule="atLeast"/>
      <w:ind w:left="1134" w:right="1134"/>
      <w:jc w:val="both"/>
    </w:pPr>
    <w:rPr>
      <w:rFonts w:ascii="Times New Roman" w:eastAsia="Times New Roman" w:hAnsi="Times New Roman" w:cs="Times New Roman"/>
      <w:sz w:val="20"/>
      <w:szCs w:val="20"/>
      <w:lang w:val="fr-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EA5"/>
    <w:pPr>
      <w:ind w:left="720"/>
      <w:contextualSpacing/>
    </w:pPr>
  </w:style>
  <w:style w:type="paragraph" w:styleId="FootnoteText">
    <w:name w:val="footnote text"/>
    <w:aliases w:val="Footnote Text Char Char,Char,Footnote Text1 Char,5_G, Char Char,Footnote reference,FA Fu,Footnote Text Char Char Char Char Char,Footnote Text Char Char Char Char,Texto nota pie Car Car,poznppMV,fn"/>
    <w:basedOn w:val="Normal"/>
    <w:link w:val="FootnoteTextChar"/>
    <w:uiPriority w:val="99"/>
    <w:unhideWhenUsed/>
    <w:qFormat/>
    <w:rsid w:val="00205AC7"/>
    <w:rPr>
      <w:rFonts w:ascii="Georgia" w:hAnsi="Georgia" w:cs="Times New Roman"/>
      <w:sz w:val="22"/>
      <w:lang w:val="en-GB"/>
    </w:rPr>
  </w:style>
  <w:style w:type="character" w:customStyle="1" w:styleId="FootnoteTextChar">
    <w:name w:val="Footnote Text Char"/>
    <w:aliases w:val="Footnote Text Char Char Char,Char Char,Footnote Text1 Char Char,5_G Char, Char Char Char,Footnote reference Char,FA Fu Char,Footnote Text Char Char Char Char Char Char,Footnote Text Char Char Char Char Char1,poznppMV Char,fn Char"/>
    <w:basedOn w:val="DefaultParagraphFont"/>
    <w:link w:val="FootnoteText"/>
    <w:uiPriority w:val="99"/>
    <w:rsid w:val="00205AC7"/>
    <w:rPr>
      <w:rFonts w:ascii="Georgia" w:hAnsi="Georgia" w:cs="Times New Roman"/>
      <w:sz w:val="22"/>
      <w:lang w:val="en-GB" w:eastAsia="ja-JP"/>
    </w:rPr>
  </w:style>
  <w:style w:type="character" w:styleId="FootnoteReference">
    <w:name w:val="footnote reference"/>
    <w:aliases w:val="Footnote Reference + Superscript,4_G,ftref,Footnotes refss,Footnote Ref,16 Point,Superscript 6 Point,Footnote Refernece,Footnote number,Appel note de bas de p."/>
    <w:basedOn w:val="DefaultParagraphFont"/>
    <w:uiPriority w:val="99"/>
    <w:unhideWhenUsed/>
    <w:rsid w:val="00205AC7"/>
    <w:rPr>
      <w:vertAlign w:val="superscript"/>
    </w:rPr>
  </w:style>
  <w:style w:type="character" w:customStyle="1" w:styleId="s7d2086b4">
    <w:name w:val="s7d2086b4"/>
    <w:basedOn w:val="DefaultParagraphFont"/>
    <w:rsid w:val="00801E58"/>
  </w:style>
  <w:style w:type="paragraph" w:styleId="Header">
    <w:name w:val="header"/>
    <w:basedOn w:val="Normal"/>
    <w:link w:val="HeaderChar"/>
    <w:uiPriority w:val="99"/>
    <w:unhideWhenUsed/>
    <w:rsid w:val="00ED2FEA"/>
    <w:pPr>
      <w:tabs>
        <w:tab w:val="center" w:pos="4320"/>
        <w:tab w:val="right" w:pos="8640"/>
      </w:tabs>
    </w:pPr>
  </w:style>
  <w:style w:type="character" w:customStyle="1" w:styleId="HeaderChar">
    <w:name w:val="Header Char"/>
    <w:basedOn w:val="DefaultParagraphFont"/>
    <w:link w:val="Header"/>
    <w:uiPriority w:val="99"/>
    <w:rsid w:val="00ED2FEA"/>
  </w:style>
  <w:style w:type="paragraph" w:styleId="Footer">
    <w:name w:val="footer"/>
    <w:basedOn w:val="Normal"/>
    <w:link w:val="FooterChar"/>
    <w:uiPriority w:val="99"/>
    <w:unhideWhenUsed/>
    <w:rsid w:val="00ED2FEA"/>
    <w:pPr>
      <w:tabs>
        <w:tab w:val="center" w:pos="4320"/>
        <w:tab w:val="right" w:pos="8640"/>
      </w:tabs>
    </w:pPr>
  </w:style>
  <w:style w:type="character" w:customStyle="1" w:styleId="FooterChar">
    <w:name w:val="Footer Char"/>
    <w:basedOn w:val="DefaultParagraphFont"/>
    <w:link w:val="Footer"/>
    <w:uiPriority w:val="99"/>
    <w:rsid w:val="00ED2FEA"/>
  </w:style>
  <w:style w:type="paragraph" w:styleId="BalloonText">
    <w:name w:val="Balloon Text"/>
    <w:basedOn w:val="Normal"/>
    <w:link w:val="BalloonTextChar"/>
    <w:uiPriority w:val="99"/>
    <w:semiHidden/>
    <w:unhideWhenUsed/>
    <w:rsid w:val="00ED2F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2FEA"/>
    <w:rPr>
      <w:rFonts w:ascii="Lucida Grande" w:hAnsi="Lucida Grande" w:cs="Lucida Grande"/>
      <w:sz w:val="18"/>
      <w:szCs w:val="18"/>
    </w:rPr>
  </w:style>
  <w:style w:type="character" w:styleId="Hyperlink">
    <w:name w:val="Hyperlink"/>
    <w:basedOn w:val="DefaultParagraphFont"/>
    <w:uiPriority w:val="99"/>
    <w:unhideWhenUsed/>
    <w:rsid w:val="0047018F"/>
    <w:rPr>
      <w:color w:val="0000FF" w:themeColor="hyperlink"/>
      <w:u w:val="single"/>
    </w:rPr>
  </w:style>
  <w:style w:type="paragraph" w:styleId="NormalWeb">
    <w:name w:val="Normal (Web)"/>
    <w:basedOn w:val="Normal"/>
    <w:uiPriority w:val="99"/>
    <w:unhideWhenUsed/>
    <w:rsid w:val="00A2123C"/>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6B0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gleTxtG">
    <w:name w:val="_ Single Txt_G"/>
    <w:basedOn w:val="Normal"/>
    <w:rsid w:val="001D003D"/>
    <w:pPr>
      <w:suppressAutoHyphens/>
      <w:spacing w:after="120" w:line="240" w:lineRule="atLeast"/>
      <w:ind w:left="1134" w:right="1134"/>
      <w:jc w:val="both"/>
    </w:pPr>
    <w:rPr>
      <w:rFonts w:ascii="Times New Roman" w:eastAsia="Times New Roman" w:hAnsi="Times New Roman" w:cs="Times New Roman"/>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229">
      <w:bodyDiv w:val="1"/>
      <w:marLeft w:val="0"/>
      <w:marRight w:val="0"/>
      <w:marTop w:val="0"/>
      <w:marBottom w:val="0"/>
      <w:divBdr>
        <w:top w:val="none" w:sz="0" w:space="0" w:color="auto"/>
        <w:left w:val="none" w:sz="0" w:space="0" w:color="auto"/>
        <w:bottom w:val="none" w:sz="0" w:space="0" w:color="auto"/>
        <w:right w:val="none" w:sz="0" w:space="0" w:color="auto"/>
      </w:divBdr>
      <w:divsChild>
        <w:div w:id="147675796">
          <w:marLeft w:val="0"/>
          <w:marRight w:val="0"/>
          <w:marTop w:val="0"/>
          <w:marBottom w:val="0"/>
          <w:divBdr>
            <w:top w:val="none" w:sz="0" w:space="0" w:color="auto"/>
            <w:left w:val="none" w:sz="0" w:space="0" w:color="auto"/>
            <w:bottom w:val="none" w:sz="0" w:space="0" w:color="auto"/>
            <w:right w:val="none" w:sz="0" w:space="0" w:color="auto"/>
          </w:divBdr>
          <w:divsChild>
            <w:div w:id="544146836">
              <w:marLeft w:val="0"/>
              <w:marRight w:val="0"/>
              <w:marTop w:val="0"/>
              <w:marBottom w:val="0"/>
              <w:divBdr>
                <w:top w:val="none" w:sz="0" w:space="0" w:color="auto"/>
                <w:left w:val="none" w:sz="0" w:space="0" w:color="auto"/>
                <w:bottom w:val="none" w:sz="0" w:space="0" w:color="auto"/>
                <w:right w:val="none" w:sz="0" w:space="0" w:color="auto"/>
              </w:divBdr>
              <w:divsChild>
                <w:div w:id="14199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25587">
      <w:bodyDiv w:val="1"/>
      <w:marLeft w:val="0"/>
      <w:marRight w:val="0"/>
      <w:marTop w:val="0"/>
      <w:marBottom w:val="0"/>
      <w:divBdr>
        <w:top w:val="none" w:sz="0" w:space="0" w:color="auto"/>
        <w:left w:val="none" w:sz="0" w:space="0" w:color="auto"/>
        <w:bottom w:val="none" w:sz="0" w:space="0" w:color="auto"/>
        <w:right w:val="none" w:sz="0" w:space="0" w:color="auto"/>
      </w:divBdr>
      <w:divsChild>
        <w:div w:id="1959486560">
          <w:marLeft w:val="806"/>
          <w:marRight w:val="0"/>
          <w:marTop w:val="106"/>
          <w:marBottom w:val="0"/>
          <w:divBdr>
            <w:top w:val="none" w:sz="0" w:space="0" w:color="auto"/>
            <w:left w:val="none" w:sz="0" w:space="0" w:color="auto"/>
            <w:bottom w:val="none" w:sz="0" w:space="0" w:color="auto"/>
            <w:right w:val="none" w:sz="0" w:space="0" w:color="auto"/>
          </w:divBdr>
        </w:div>
        <w:div w:id="321586145">
          <w:marLeft w:val="806"/>
          <w:marRight w:val="0"/>
          <w:marTop w:val="106"/>
          <w:marBottom w:val="0"/>
          <w:divBdr>
            <w:top w:val="none" w:sz="0" w:space="0" w:color="auto"/>
            <w:left w:val="none" w:sz="0" w:space="0" w:color="auto"/>
            <w:bottom w:val="none" w:sz="0" w:space="0" w:color="auto"/>
            <w:right w:val="none" w:sz="0" w:space="0" w:color="auto"/>
          </w:divBdr>
        </w:div>
        <w:div w:id="771632105">
          <w:marLeft w:val="806"/>
          <w:marRight w:val="0"/>
          <w:marTop w:val="106"/>
          <w:marBottom w:val="0"/>
          <w:divBdr>
            <w:top w:val="none" w:sz="0" w:space="0" w:color="auto"/>
            <w:left w:val="none" w:sz="0" w:space="0" w:color="auto"/>
            <w:bottom w:val="none" w:sz="0" w:space="0" w:color="auto"/>
            <w:right w:val="none" w:sz="0" w:space="0" w:color="auto"/>
          </w:divBdr>
        </w:div>
        <w:div w:id="1314598837">
          <w:marLeft w:val="806"/>
          <w:marRight w:val="0"/>
          <w:marTop w:val="106"/>
          <w:marBottom w:val="0"/>
          <w:divBdr>
            <w:top w:val="none" w:sz="0" w:space="0" w:color="auto"/>
            <w:left w:val="none" w:sz="0" w:space="0" w:color="auto"/>
            <w:bottom w:val="none" w:sz="0" w:space="0" w:color="auto"/>
            <w:right w:val="none" w:sz="0" w:space="0" w:color="auto"/>
          </w:divBdr>
        </w:div>
        <w:div w:id="1126312260">
          <w:marLeft w:val="806"/>
          <w:marRight w:val="0"/>
          <w:marTop w:val="106"/>
          <w:marBottom w:val="0"/>
          <w:divBdr>
            <w:top w:val="none" w:sz="0" w:space="0" w:color="auto"/>
            <w:left w:val="none" w:sz="0" w:space="0" w:color="auto"/>
            <w:bottom w:val="none" w:sz="0" w:space="0" w:color="auto"/>
            <w:right w:val="none" w:sz="0" w:space="0" w:color="auto"/>
          </w:divBdr>
        </w:div>
      </w:divsChild>
    </w:div>
    <w:div w:id="1017392953">
      <w:bodyDiv w:val="1"/>
      <w:marLeft w:val="0"/>
      <w:marRight w:val="0"/>
      <w:marTop w:val="0"/>
      <w:marBottom w:val="0"/>
      <w:divBdr>
        <w:top w:val="none" w:sz="0" w:space="0" w:color="auto"/>
        <w:left w:val="none" w:sz="0" w:space="0" w:color="auto"/>
        <w:bottom w:val="none" w:sz="0" w:space="0" w:color="auto"/>
        <w:right w:val="none" w:sz="0" w:space="0" w:color="auto"/>
      </w:divBdr>
      <w:divsChild>
        <w:div w:id="1993479795">
          <w:marLeft w:val="0"/>
          <w:marRight w:val="0"/>
          <w:marTop w:val="0"/>
          <w:marBottom w:val="0"/>
          <w:divBdr>
            <w:top w:val="none" w:sz="0" w:space="0" w:color="auto"/>
            <w:left w:val="none" w:sz="0" w:space="0" w:color="auto"/>
            <w:bottom w:val="none" w:sz="0" w:space="0" w:color="auto"/>
            <w:right w:val="none" w:sz="0" w:space="0" w:color="auto"/>
          </w:divBdr>
          <w:divsChild>
            <w:div w:id="194778410">
              <w:marLeft w:val="0"/>
              <w:marRight w:val="0"/>
              <w:marTop w:val="0"/>
              <w:marBottom w:val="0"/>
              <w:divBdr>
                <w:top w:val="none" w:sz="0" w:space="0" w:color="auto"/>
                <w:left w:val="none" w:sz="0" w:space="0" w:color="auto"/>
                <w:bottom w:val="none" w:sz="0" w:space="0" w:color="auto"/>
                <w:right w:val="none" w:sz="0" w:space="0" w:color="auto"/>
              </w:divBdr>
              <w:divsChild>
                <w:div w:id="18688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7231">
      <w:bodyDiv w:val="1"/>
      <w:marLeft w:val="0"/>
      <w:marRight w:val="0"/>
      <w:marTop w:val="0"/>
      <w:marBottom w:val="0"/>
      <w:divBdr>
        <w:top w:val="none" w:sz="0" w:space="0" w:color="auto"/>
        <w:left w:val="none" w:sz="0" w:space="0" w:color="auto"/>
        <w:bottom w:val="none" w:sz="0" w:space="0" w:color="auto"/>
        <w:right w:val="none" w:sz="0" w:space="0" w:color="auto"/>
      </w:divBdr>
      <w:divsChild>
        <w:div w:id="1817067022">
          <w:marLeft w:val="0"/>
          <w:marRight w:val="0"/>
          <w:marTop w:val="0"/>
          <w:marBottom w:val="0"/>
          <w:divBdr>
            <w:top w:val="none" w:sz="0" w:space="0" w:color="auto"/>
            <w:left w:val="none" w:sz="0" w:space="0" w:color="auto"/>
            <w:bottom w:val="none" w:sz="0" w:space="0" w:color="auto"/>
            <w:right w:val="none" w:sz="0" w:space="0" w:color="auto"/>
          </w:divBdr>
          <w:divsChild>
            <w:div w:id="2066903581">
              <w:marLeft w:val="0"/>
              <w:marRight w:val="0"/>
              <w:marTop w:val="0"/>
              <w:marBottom w:val="0"/>
              <w:divBdr>
                <w:top w:val="none" w:sz="0" w:space="0" w:color="auto"/>
                <w:left w:val="none" w:sz="0" w:space="0" w:color="auto"/>
                <w:bottom w:val="none" w:sz="0" w:space="0" w:color="auto"/>
                <w:right w:val="none" w:sz="0" w:space="0" w:color="auto"/>
              </w:divBdr>
              <w:divsChild>
                <w:div w:id="6536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8748">
          <w:marLeft w:val="0"/>
          <w:marRight w:val="0"/>
          <w:marTop w:val="0"/>
          <w:marBottom w:val="0"/>
          <w:divBdr>
            <w:top w:val="none" w:sz="0" w:space="0" w:color="auto"/>
            <w:left w:val="none" w:sz="0" w:space="0" w:color="auto"/>
            <w:bottom w:val="none" w:sz="0" w:space="0" w:color="auto"/>
            <w:right w:val="none" w:sz="0" w:space="0" w:color="auto"/>
          </w:divBdr>
          <w:divsChild>
            <w:div w:id="630088226">
              <w:marLeft w:val="0"/>
              <w:marRight w:val="0"/>
              <w:marTop w:val="0"/>
              <w:marBottom w:val="0"/>
              <w:divBdr>
                <w:top w:val="none" w:sz="0" w:space="0" w:color="auto"/>
                <w:left w:val="none" w:sz="0" w:space="0" w:color="auto"/>
                <w:bottom w:val="none" w:sz="0" w:space="0" w:color="auto"/>
                <w:right w:val="none" w:sz="0" w:space="0" w:color="auto"/>
              </w:divBdr>
              <w:divsChild>
                <w:div w:id="7200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75154">
      <w:bodyDiv w:val="1"/>
      <w:marLeft w:val="0"/>
      <w:marRight w:val="0"/>
      <w:marTop w:val="0"/>
      <w:marBottom w:val="0"/>
      <w:divBdr>
        <w:top w:val="none" w:sz="0" w:space="0" w:color="auto"/>
        <w:left w:val="none" w:sz="0" w:space="0" w:color="auto"/>
        <w:bottom w:val="none" w:sz="0" w:space="0" w:color="auto"/>
        <w:right w:val="none" w:sz="0" w:space="0" w:color="auto"/>
      </w:divBdr>
      <w:divsChild>
        <w:div w:id="471677297">
          <w:marLeft w:val="0"/>
          <w:marRight w:val="0"/>
          <w:marTop w:val="0"/>
          <w:marBottom w:val="0"/>
          <w:divBdr>
            <w:top w:val="none" w:sz="0" w:space="0" w:color="auto"/>
            <w:left w:val="none" w:sz="0" w:space="0" w:color="auto"/>
            <w:bottom w:val="none" w:sz="0" w:space="0" w:color="auto"/>
            <w:right w:val="none" w:sz="0" w:space="0" w:color="auto"/>
          </w:divBdr>
          <w:divsChild>
            <w:div w:id="4787452">
              <w:marLeft w:val="0"/>
              <w:marRight w:val="0"/>
              <w:marTop w:val="0"/>
              <w:marBottom w:val="0"/>
              <w:divBdr>
                <w:top w:val="none" w:sz="0" w:space="0" w:color="auto"/>
                <w:left w:val="none" w:sz="0" w:space="0" w:color="auto"/>
                <w:bottom w:val="none" w:sz="0" w:space="0" w:color="auto"/>
                <w:right w:val="none" w:sz="0" w:space="0" w:color="auto"/>
              </w:divBdr>
              <w:divsChild>
                <w:div w:id="4927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1437">
      <w:bodyDiv w:val="1"/>
      <w:marLeft w:val="0"/>
      <w:marRight w:val="0"/>
      <w:marTop w:val="0"/>
      <w:marBottom w:val="0"/>
      <w:divBdr>
        <w:top w:val="none" w:sz="0" w:space="0" w:color="auto"/>
        <w:left w:val="none" w:sz="0" w:space="0" w:color="auto"/>
        <w:bottom w:val="none" w:sz="0" w:space="0" w:color="auto"/>
        <w:right w:val="none" w:sz="0" w:space="0" w:color="auto"/>
      </w:divBdr>
      <w:divsChild>
        <w:div w:id="881096575">
          <w:marLeft w:val="547"/>
          <w:marRight w:val="0"/>
          <w:marTop w:val="115"/>
          <w:marBottom w:val="0"/>
          <w:divBdr>
            <w:top w:val="none" w:sz="0" w:space="0" w:color="auto"/>
            <w:left w:val="none" w:sz="0" w:space="0" w:color="auto"/>
            <w:bottom w:val="none" w:sz="0" w:space="0" w:color="auto"/>
            <w:right w:val="none" w:sz="0" w:space="0" w:color="auto"/>
          </w:divBdr>
        </w:div>
        <w:div w:id="662319721">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Data" Target="diagrams/data1.xml"/><Relationship Id="rId12" Type="http://schemas.openxmlformats.org/officeDocument/2006/relationships/diagramLayout" Target="diagrams/layout1.xml"/><Relationship Id="rId13" Type="http://schemas.openxmlformats.org/officeDocument/2006/relationships/diagramQuickStyle" Target="diagrams/quickStyle1.xml"/><Relationship Id="rId14" Type="http://schemas.openxmlformats.org/officeDocument/2006/relationships/diagramColors" Target="diagrams/colors1.xml"/><Relationship Id="rId15" Type="http://schemas.microsoft.com/office/2007/relationships/diagramDrawing" Target="diagrams/drawing1.xm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globalfreedomofexpression.columbia.edu/cases/marathe-v-the-st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95DBA3-02B9-B24E-8EBB-9BD0D1DB4EFB}" type="doc">
      <dgm:prSet loTypeId="urn:microsoft.com/office/officeart/2005/8/layout/pyramid1" loCatId="" qsTypeId="urn:microsoft.com/office/officeart/2005/8/quickstyle/simple4" qsCatId="simple" csTypeId="urn:microsoft.com/office/officeart/2005/8/colors/colorful1" csCatId="colorful" phldr="1"/>
      <dgm:spPr/>
    </dgm:pt>
    <dgm:pt modelId="{80E6790A-859C-A94E-ADEE-3850EDD6D4CA}">
      <dgm:prSet phldrT="[Text]" custT="1"/>
      <dgm:spPr/>
      <dgm:t>
        <a:bodyPr/>
        <a:lstStyle/>
        <a:p>
          <a:r>
            <a:rPr lang="fr-FR" sz="1200" b="1" noProof="0" dirty="0" smtClean="0">
              <a:latin typeface="+mj-lt"/>
            </a:rPr>
            <a:t>Incitation</a:t>
          </a:r>
          <a:r>
            <a:rPr lang="fr-FR" sz="1200" noProof="0" dirty="0" smtClean="0">
              <a:latin typeface="+mj-lt"/>
            </a:rPr>
            <a:t> </a:t>
          </a:r>
          <a:r>
            <a:rPr lang="fr-FR" sz="1100" noProof="0" dirty="0" smtClean="0">
              <a:latin typeface="+mj-lt"/>
            </a:rPr>
            <a:t>(Doit être prohibée en vertu de la Convention sur le Génocide, Article 20 du Pacte International relatif aux Droits Civils et Politiques et de l’Article 4 de la  Convention internationale sur l'élimination de toutes les formes de discrimination raciale)</a:t>
          </a:r>
          <a:endParaRPr lang="fr-FR" sz="1100" noProof="0" dirty="0">
            <a:latin typeface="+mj-lt"/>
          </a:endParaRPr>
        </a:p>
      </dgm:t>
    </dgm:pt>
    <dgm:pt modelId="{E7BD25E7-54AA-BA48-A1EE-B609FB75601A}" type="parTrans" cxnId="{39077973-66A3-A54C-9376-5FA0C40787CC}">
      <dgm:prSet/>
      <dgm:spPr/>
      <dgm:t>
        <a:bodyPr/>
        <a:lstStyle/>
        <a:p>
          <a:endParaRPr lang="en-US"/>
        </a:p>
      </dgm:t>
    </dgm:pt>
    <dgm:pt modelId="{E2917D5C-508C-074A-B69F-DB12F90F0CBB}" type="sibTrans" cxnId="{39077973-66A3-A54C-9376-5FA0C40787CC}">
      <dgm:prSet/>
      <dgm:spPr/>
      <dgm:t>
        <a:bodyPr/>
        <a:lstStyle/>
        <a:p>
          <a:endParaRPr lang="en-US"/>
        </a:p>
      </dgm:t>
    </dgm:pt>
    <dgm:pt modelId="{E7D8F9F2-827C-4B4C-BA78-A08BBC78B9AE}">
      <dgm:prSet phldrT="[Text]" custT="1"/>
      <dgm:spPr/>
      <dgm:t>
        <a:bodyPr/>
        <a:lstStyle/>
        <a:p>
          <a:r>
            <a:rPr lang="fr-FR" sz="1200" b="1" noProof="0" dirty="0" smtClean="0">
              <a:latin typeface="+mj-lt"/>
            </a:rPr>
            <a:t>Discours de la haine </a:t>
          </a:r>
          <a:r>
            <a:rPr lang="fr-FR" sz="1200" noProof="0" dirty="0" smtClean="0">
              <a:latin typeface="+mj-lt"/>
            </a:rPr>
            <a:t>(Peuvent faire l’objet de restrictions en vertu de l’article 19 du Pacte Droits Civils et Politiques, et Article 4 de la Convention contre le racisme</a:t>
          </a:r>
          <a:r>
            <a:rPr lang="en-US" sz="1200" dirty="0" smtClean="0">
              <a:latin typeface="+mj-lt"/>
            </a:rPr>
            <a:t>)</a:t>
          </a:r>
          <a:endParaRPr lang="en-US" sz="1200" dirty="0">
            <a:latin typeface="+mj-lt"/>
          </a:endParaRPr>
        </a:p>
      </dgm:t>
    </dgm:pt>
    <dgm:pt modelId="{EC1B33A5-AB23-4E47-ACF8-AFC0DC1E9E99}" type="parTrans" cxnId="{1DA5EF9B-0F49-C342-A4D7-0C13C451E5C1}">
      <dgm:prSet/>
      <dgm:spPr/>
      <dgm:t>
        <a:bodyPr/>
        <a:lstStyle/>
        <a:p>
          <a:endParaRPr lang="en-US"/>
        </a:p>
      </dgm:t>
    </dgm:pt>
    <dgm:pt modelId="{4B90A54F-004F-2845-A25C-DE4F4D0D44A1}" type="sibTrans" cxnId="{1DA5EF9B-0F49-C342-A4D7-0C13C451E5C1}">
      <dgm:prSet/>
      <dgm:spPr/>
      <dgm:t>
        <a:bodyPr/>
        <a:lstStyle/>
        <a:p>
          <a:endParaRPr lang="en-US"/>
        </a:p>
      </dgm:t>
    </dgm:pt>
    <dgm:pt modelId="{49B2F6F1-6640-024A-BF86-400F7CC985A5}">
      <dgm:prSet phldrT="[Text]" custT="1"/>
      <dgm:spPr/>
      <dgm:t>
        <a:bodyPr/>
        <a:lstStyle/>
        <a:p>
          <a:r>
            <a:rPr lang="fr-CA" sz="1200" b="1" noProof="0" dirty="0" smtClean="0">
              <a:latin typeface="+mj-lt"/>
            </a:rPr>
            <a:t>Discours Offensants </a:t>
          </a:r>
          <a:r>
            <a:rPr lang="fr-CA" sz="1200" noProof="0" dirty="0" smtClean="0">
              <a:latin typeface="+mj-lt"/>
            </a:rPr>
            <a:t>(Protégés par l’article 19 du Pacte Droits Civils et Politiques, mais souvent objets de restrictions partout dans le monde). </a:t>
          </a:r>
          <a:endParaRPr lang="fr-CA" sz="1200" noProof="0" dirty="0">
            <a:latin typeface="+mj-lt"/>
          </a:endParaRPr>
        </a:p>
      </dgm:t>
    </dgm:pt>
    <dgm:pt modelId="{311C231D-B551-1B4F-B2B6-F49AF06C30A8}" type="parTrans" cxnId="{D0B1D225-52B8-434A-845C-AEE4C0344EBD}">
      <dgm:prSet/>
      <dgm:spPr/>
      <dgm:t>
        <a:bodyPr/>
        <a:lstStyle/>
        <a:p>
          <a:endParaRPr lang="en-US"/>
        </a:p>
      </dgm:t>
    </dgm:pt>
    <dgm:pt modelId="{0DD1FBF7-29C0-9448-966D-D6FF6B20CD89}" type="sibTrans" cxnId="{D0B1D225-52B8-434A-845C-AEE4C0344EBD}">
      <dgm:prSet/>
      <dgm:spPr/>
      <dgm:t>
        <a:bodyPr/>
        <a:lstStyle/>
        <a:p>
          <a:endParaRPr lang="en-US"/>
        </a:p>
      </dgm:t>
    </dgm:pt>
    <dgm:pt modelId="{BB2FCAE3-C07A-8546-AA2B-1C2CFDF21D5B}" type="pres">
      <dgm:prSet presAssocID="{8295DBA3-02B9-B24E-8EBB-9BD0D1DB4EFB}" presName="Name0" presStyleCnt="0">
        <dgm:presLayoutVars>
          <dgm:dir/>
          <dgm:animLvl val="lvl"/>
          <dgm:resizeHandles val="exact"/>
        </dgm:presLayoutVars>
      </dgm:prSet>
      <dgm:spPr/>
    </dgm:pt>
    <dgm:pt modelId="{3E62362F-8C41-0746-8114-2B5D3BC41063}" type="pres">
      <dgm:prSet presAssocID="{80E6790A-859C-A94E-ADEE-3850EDD6D4CA}" presName="Name8" presStyleCnt="0"/>
      <dgm:spPr/>
    </dgm:pt>
    <dgm:pt modelId="{A5B5B303-10F6-654B-8E8D-D96E8DCBDF1A}" type="pres">
      <dgm:prSet presAssocID="{80E6790A-859C-A94E-ADEE-3850EDD6D4CA}" presName="level" presStyleLbl="node1" presStyleIdx="0" presStyleCnt="3" custScaleY="75827">
        <dgm:presLayoutVars>
          <dgm:chMax val="1"/>
          <dgm:bulletEnabled val="1"/>
        </dgm:presLayoutVars>
      </dgm:prSet>
      <dgm:spPr/>
      <dgm:t>
        <a:bodyPr/>
        <a:lstStyle/>
        <a:p>
          <a:endParaRPr lang="en-US"/>
        </a:p>
      </dgm:t>
    </dgm:pt>
    <dgm:pt modelId="{4EAC21B7-54F2-F54F-A118-BA517A54EE28}" type="pres">
      <dgm:prSet presAssocID="{80E6790A-859C-A94E-ADEE-3850EDD6D4CA}" presName="levelTx" presStyleLbl="revTx" presStyleIdx="0" presStyleCnt="0">
        <dgm:presLayoutVars>
          <dgm:chMax val="1"/>
          <dgm:bulletEnabled val="1"/>
        </dgm:presLayoutVars>
      </dgm:prSet>
      <dgm:spPr/>
      <dgm:t>
        <a:bodyPr/>
        <a:lstStyle/>
        <a:p>
          <a:endParaRPr lang="en-US"/>
        </a:p>
      </dgm:t>
    </dgm:pt>
    <dgm:pt modelId="{AE6ED682-D9F3-D346-96E6-E73C70B83FE8}" type="pres">
      <dgm:prSet presAssocID="{E7D8F9F2-827C-4B4C-BA78-A08BBC78B9AE}" presName="Name8" presStyleCnt="0"/>
      <dgm:spPr/>
    </dgm:pt>
    <dgm:pt modelId="{89B2539E-9194-8243-950D-AB2E6E0BDA37}" type="pres">
      <dgm:prSet presAssocID="{E7D8F9F2-827C-4B4C-BA78-A08BBC78B9AE}" presName="level" presStyleLbl="node1" presStyleIdx="1" presStyleCnt="3" custScaleY="55717" custLinFactNeighborX="-725" custLinFactNeighborY="1301">
        <dgm:presLayoutVars>
          <dgm:chMax val="1"/>
          <dgm:bulletEnabled val="1"/>
        </dgm:presLayoutVars>
      </dgm:prSet>
      <dgm:spPr/>
      <dgm:t>
        <a:bodyPr/>
        <a:lstStyle/>
        <a:p>
          <a:endParaRPr lang="en-US"/>
        </a:p>
      </dgm:t>
    </dgm:pt>
    <dgm:pt modelId="{4A14AB12-890C-9C47-B9AF-A658A30D8919}" type="pres">
      <dgm:prSet presAssocID="{E7D8F9F2-827C-4B4C-BA78-A08BBC78B9AE}" presName="levelTx" presStyleLbl="revTx" presStyleIdx="0" presStyleCnt="0">
        <dgm:presLayoutVars>
          <dgm:chMax val="1"/>
          <dgm:bulletEnabled val="1"/>
        </dgm:presLayoutVars>
      </dgm:prSet>
      <dgm:spPr/>
      <dgm:t>
        <a:bodyPr/>
        <a:lstStyle/>
        <a:p>
          <a:endParaRPr lang="en-US"/>
        </a:p>
      </dgm:t>
    </dgm:pt>
    <dgm:pt modelId="{801EC8DB-AB9C-D34A-9F5B-05FBC541B0B7}" type="pres">
      <dgm:prSet presAssocID="{49B2F6F1-6640-024A-BF86-400F7CC985A5}" presName="Name8" presStyleCnt="0"/>
      <dgm:spPr/>
    </dgm:pt>
    <dgm:pt modelId="{B8546BAA-0059-234F-B932-0767043955F5}" type="pres">
      <dgm:prSet presAssocID="{49B2F6F1-6640-024A-BF86-400F7CC985A5}" presName="level" presStyleLbl="node1" presStyleIdx="2" presStyleCnt="3" custScaleY="55428">
        <dgm:presLayoutVars>
          <dgm:chMax val="1"/>
          <dgm:bulletEnabled val="1"/>
        </dgm:presLayoutVars>
      </dgm:prSet>
      <dgm:spPr/>
      <dgm:t>
        <a:bodyPr/>
        <a:lstStyle/>
        <a:p>
          <a:endParaRPr lang="en-US"/>
        </a:p>
      </dgm:t>
    </dgm:pt>
    <dgm:pt modelId="{8481CE7A-211A-1341-9C59-5B0F90216B91}" type="pres">
      <dgm:prSet presAssocID="{49B2F6F1-6640-024A-BF86-400F7CC985A5}" presName="levelTx" presStyleLbl="revTx" presStyleIdx="0" presStyleCnt="0">
        <dgm:presLayoutVars>
          <dgm:chMax val="1"/>
          <dgm:bulletEnabled val="1"/>
        </dgm:presLayoutVars>
      </dgm:prSet>
      <dgm:spPr/>
      <dgm:t>
        <a:bodyPr/>
        <a:lstStyle/>
        <a:p>
          <a:endParaRPr lang="en-US"/>
        </a:p>
      </dgm:t>
    </dgm:pt>
  </dgm:ptLst>
  <dgm:cxnLst>
    <dgm:cxn modelId="{5D62EBE5-1DF4-094B-AF38-959A4AA5D5AD}" type="presOf" srcId="{80E6790A-859C-A94E-ADEE-3850EDD6D4CA}" destId="{4EAC21B7-54F2-F54F-A118-BA517A54EE28}" srcOrd="1" destOrd="0" presId="urn:microsoft.com/office/officeart/2005/8/layout/pyramid1"/>
    <dgm:cxn modelId="{87E43858-9409-404B-B37F-9BA6113A2512}" type="presOf" srcId="{49B2F6F1-6640-024A-BF86-400F7CC985A5}" destId="{B8546BAA-0059-234F-B932-0767043955F5}" srcOrd="0" destOrd="0" presId="urn:microsoft.com/office/officeart/2005/8/layout/pyramid1"/>
    <dgm:cxn modelId="{D0B1D225-52B8-434A-845C-AEE4C0344EBD}" srcId="{8295DBA3-02B9-B24E-8EBB-9BD0D1DB4EFB}" destId="{49B2F6F1-6640-024A-BF86-400F7CC985A5}" srcOrd="2" destOrd="0" parTransId="{311C231D-B551-1B4F-B2B6-F49AF06C30A8}" sibTransId="{0DD1FBF7-29C0-9448-966D-D6FF6B20CD89}"/>
    <dgm:cxn modelId="{508B8437-8FFB-6C47-827C-B9EE25B53430}" type="presOf" srcId="{49B2F6F1-6640-024A-BF86-400F7CC985A5}" destId="{8481CE7A-211A-1341-9C59-5B0F90216B91}" srcOrd="1" destOrd="0" presId="urn:microsoft.com/office/officeart/2005/8/layout/pyramid1"/>
    <dgm:cxn modelId="{0C7A67FB-26D3-874D-B0E2-39EEDCDA0165}" type="presOf" srcId="{E7D8F9F2-827C-4B4C-BA78-A08BBC78B9AE}" destId="{4A14AB12-890C-9C47-B9AF-A658A30D8919}" srcOrd="1" destOrd="0" presId="urn:microsoft.com/office/officeart/2005/8/layout/pyramid1"/>
    <dgm:cxn modelId="{1DA5EF9B-0F49-C342-A4D7-0C13C451E5C1}" srcId="{8295DBA3-02B9-B24E-8EBB-9BD0D1DB4EFB}" destId="{E7D8F9F2-827C-4B4C-BA78-A08BBC78B9AE}" srcOrd="1" destOrd="0" parTransId="{EC1B33A5-AB23-4E47-ACF8-AFC0DC1E9E99}" sibTransId="{4B90A54F-004F-2845-A25C-DE4F4D0D44A1}"/>
    <dgm:cxn modelId="{39077973-66A3-A54C-9376-5FA0C40787CC}" srcId="{8295DBA3-02B9-B24E-8EBB-9BD0D1DB4EFB}" destId="{80E6790A-859C-A94E-ADEE-3850EDD6D4CA}" srcOrd="0" destOrd="0" parTransId="{E7BD25E7-54AA-BA48-A1EE-B609FB75601A}" sibTransId="{E2917D5C-508C-074A-B69F-DB12F90F0CBB}"/>
    <dgm:cxn modelId="{E4E64C93-7834-C747-BD5C-C5129B2EC1FC}" type="presOf" srcId="{80E6790A-859C-A94E-ADEE-3850EDD6D4CA}" destId="{A5B5B303-10F6-654B-8E8D-D96E8DCBDF1A}" srcOrd="0" destOrd="0" presId="urn:microsoft.com/office/officeart/2005/8/layout/pyramid1"/>
    <dgm:cxn modelId="{7679B269-C449-6D46-BE74-B0DCD81AFBF9}" type="presOf" srcId="{E7D8F9F2-827C-4B4C-BA78-A08BBC78B9AE}" destId="{89B2539E-9194-8243-950D-AB2E6E0BDA37}" srcOrd="0" destOrd="0" presId="urn:microsoft.com/office/officeart/2005/8/layout/pyramid1"/>
    <dgm:cxn modelId="{0EFE6DEA-8FF4-0649-92A1-E8D81217E96C}" type="presOf" srcId="{8295DBA3-02B9-B24E-8EBB-9BD0D1DB4EFB}" destId="{BB2FCAE3-C07A-8546-AA2B-1C2CFDF21D5B}" srcOrd="0" destOrd="0" presId="urn:microsoft.com/office/officeart/2005/8/layout/pyramid1"/>
    <dgm:cxn modelId="{159E86B3-9B17-FB4F-861D-8D2537AC8016}" type="presParOf" srcId="{BB2FCAE3-C07A-8546-AA2B-1C2CFDF21D5B}" destId="{3E62362F-8C41-0746-8114-2B5D3BC41063}" srcOrd="0" destOrd="0" presId="urn:microsoft.com/office/officeart/2005/8/layout/pyramid1"/>
    <dgm:cxn modelId="{317CBD47-BCC7-2C41-918F-2D1755A93E84}" type="presParOf" srcId="{3E62362F-8C41-0746-8114-2B5D3BC41063}" destId="{A5B5B303-10F6-654B-8E8D-D96E8DCBDF1A}" srcOrd="0" destOrd="0" presId="urn:microsoft.com/office/officeart/2005/8/layout/pyramid1"/>
    <dgm:cxn modelId="{AF815AF0-17B9-3C42-815A-4D5B97FFE6B9}" type="presParOf" srcId="{3E62362F-8C41-0746-8114-2B5D3BC41063}" destId="{4EAC21B7-54F2-F54F-A118-BA517A54EE28}" srcOrd="1" destOrd="0" presId="urn:microsoft.com/office/officeart/2005/8/layout/pyramid1"/>
    <dgm:cxn modelId="{3B517446-D595-8941-BA47-64CF71592840}" type="presParOf" srcId="{BB2FCAE3-C07A-8546-AA2B-1C2CFDF21D5B}" destId="{AE6ED682-D9F3-D346-96E6-E73C70B83FE8}" srcOrd="1" destOrd="0" presId="urn:microsoft.com/office/officeart/2005/8/layout/pyramid1"/>
    <dgm:cxn modelId="{062A9921-D77F-3641-86EA-E405685BF882}" type="presParOf" srcId="{AE6ED682-D9F3-D346-96E6-E73C70B83FE8}" destId="{89B2539E-9194-8243-950D-AB2E6E0BDA37}" srcOrd="0" destOrd="0" presId="urn:microsoft.com/office/officeart/2005/8/layout/pyramid1"/>
    <dgm:cxn modelId="{FC00E1A4-2337-9B45-A3ED-B850B2D4D4D0}" type="presParOf" srcId="{AE6ED682-D9F3-D346-96E6-E73C70B83FE8}" destId="{4A14AB12-890C-9C47-B9AF-A658A30D8919}" srcOrd="1" destOrd="0" presId="urn:microsoft.com/office/officeart/2005/8/layout/pyramid1"/>
    <dgm:cxn modelId="{A4FBC0C9-0E59-D843-8090-15D86BA18852}" type="presParOf" srcId="{BB2FCAE3-C07A-8546-AA2B-1C2CFDF21D5B}" destId="{801EC8DB-AB9C-D34A-9F5B-05FBC541B0B7}" srcOrd="2" destOrd="0" presId="urn:microsoft.com/office/officeart/2005/8/layout/pyramid1"/>
    <dgm:cxn modelId="{D8563947-42E9-904D-A4EB-CAF9E6C24726}" type="presParOf" srcId="{801EC8DB-AB9C-D34A-9F5B-05FBC541B0B7}" destId="{B8546BAA-0059-234F-B932-0767043955F5}" srcOrd="0" destOrd="0" presId="urn:microsoft.com/office/officeart/2005/8/layout/pyramid1"/>
    <dgm:cxn modelId="{7E067872-35F8-EC4C-99F3-27C8C176C6FD}" type="presParOf" srcId="{801EC8DB-AB9C-D34A-9F5B-05FBC541B0B7}" destId="{8481CE7A-211A-1341-9C59-5B0F90216B91}" srcOrd="1" destOrd="0" presId="urn:microsoft.com/office/officeart/2005/8/layout/pyramid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B5B303-10F6-654B-8E8D-D96E8DCBDF1A}">
      <dsp:nvSpPr>
        <dsp:cNvPr id="0" name=""/>
        <dsp:cNvSpPr/>
      </dsp:nvSpPr>
      <dsp:spPr>
        <a:xfrm>
          <a:off x="1683380" y="0"/>
          <a:ext cx="2296921" cy="1298987"/>
        </a:xfrm>
        <a:prstGeom prst="trapezoid">
          <a:avLst>
            <a:gd name="adj" fmla="val 88412"/>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r-FR" sz="1200" b="1" kern="1200" noProof="0" dirty="0" smtClean="0">
              <a:latin typeface="+mj-lt"/>
            </a:rPr>
            <a:t>Incitation</a:t>
          </a:r>
          <a:r>
            <a:rPr lang="fr-FR" sz="1200" kern="1200" noProof="0" dirty="0" smtClean="0">
              <a:latin typeface="+mj-lt"/>
            </a:rPr>
            <a:t> </a:t>
          </a:r>
          <a:r>
            <a:rPr lang="fr-FR" sz="1100" kern="1200" noProof="0" dirty="0" smtClean="0">
              <a:latin typeface="+mj-lt"/>
            </a:rPr>
            <a:t>(Doit être prohibée en vertu de la Convention sur le Génocide, Article 20 du Pacte International relatif aux Droits Civils et Politiques et de l’Article 4 de la  Convention internationale sur l'élimination de toutes les formes de discrimination raciale)</a:t>
          </a:r>
          <a:endParaRPr lang="fr-FR" sz="1100" kern="1200" noProof="0" dirty="0">
            <a:latin typeface="+mj-lt"/>
          </a:endParaRPr>
        </a:p>
      </dsp:txBody>
      <dsp:txXfrm>
        <a:off x="1683380" y="0"/>
        <a:ext cx="2296921" cy="1298987"/>
      </dsp:txXfrm>
    </dsp:sp>
    <dsp:sp modelId="{89B2539E-9194-8243-950D-AB2E6E0BDA37}">
      <dsp:nvSpPr>
        <dsp:cNvPr id="0" name=""/>
        <dsp:cNvSpPr/>
      </dsp:nvSpPr>
      <dsp:spPr>
        <a:xfrm>
          <a:off x="810612" y="1321274"/>
          <a:ext cx="3984678" cy="954484"/>
        </a:xfrm>
        <a:prstGeom prst="trapezoid">
          <a:avLst>
            <a:gd name="adj" fmla="val 88412"/>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r-FR" sz="1200" b="1" kern="1200" noProof="0" dirty="0" smtClean="0">
              <a:latin typeface="+mj-lt"/>
            </a:rPr>
            <a:t>Discours de la haine </a:t>
          </a:r>
          <a:r>
            <a:rPr lang="fr-FR" sz="1200" kern="1200" noProof="0" dirty="0" smtClean="0">
              <a:latin typeface="+mj-lt"/>
            </a:rPr>
            <a:t>(Peuvent faire l’objet de restrictions en vertu de l’article 19 du Pacte Droits Civils et Politiques, et Article 4 de la Convention contre le racisme</a:t>
          </a:r>
          <a:r>
            <a:rPr lang="en-US" sz="1200" kern="1200" dirty="0" smtClean="0">
              <a:latin typeface="+mj-lt"/>
            </a:rPr>
            <a:t>)</a:t>
          </a:r>
          <a:endParaRPr lang="en-US" sz="1200" kern="1200" dirty="0">
            <a:latin typeface="+mj-lt"/>
          </a:endParaRPr>
        </a:p>
      </dsp:txBody>
      <dsp:txXfrm>
        <a:off x="1507931" y="1321274"/>
        <a:ext cx="2590041" cy="954484"/>
      </dsp:txXfrm>
    </dsp:sp>
    <dsp:sp modelId="{B8546BAA-0059-234F-B932-0767043955F5}">
      <dsp:nvSpPr>
        <dsp:cNvPr id="0" name=""/>
        <dsp:cNvSpPr/>
      </dsp:nvSpPr>
      <dsp:spPr>
        <a:xfrm>
          <a:off x="0" y="2253471"/>
          <a:ext cx="5663681" cy="949533"/>
        </a:xfrm>
        <a:prstGeom prst="trapezoid">
          <a:avLst>
            <a:gd name="adj" fmla="val 88412"/>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r-CA" sz="1200" b="1" kern="1200" noProof="0" dirty="0" smtClean="0">
              <a:latin typeface="+mj-lt"/>
            </a:rPr>
            <a:t>Discours Offensants </a:t>
          </a:r>
          <a:r>
            <a:rPr lang="fr-CA" sz="1200" kern="1200" noProof="0" dirty="0" smtClean="0">
              <a:latin typeface="+mj-lt"/>
            </a:rPr>
            <a:t>(Protégés par l’article 19 du Pacte Droits Civils et Politiques, mais souvent objets de restrictions partout dans le monde). </a:t>
          </a:r>
          <a:endParaRPr lang="fr-CA" sz="1200" kern="1200" noProof="0" dirty="0">
            <a:latin typeface="+mj-lt"/>
          </a:endParaRPr>
        </a:p>
      </dsp:txBody>
      <dsp:txXfrm>
        <a:off x="991144" y="2253471"/>
        <a:ext cx="3681393" cy="94953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FD3BB-00A2-E943-AD4B-4DC16D60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21</Pages>
  <Words>6942</Words>
  <Characters>39572</Characters>
  <Application>Microsoft Macintosh Word</Application>
  <DocSecurity>0</DocSecurity>
  <Lines>329</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CALLAMARD</dc:creator>
  <cp:lastModifiedBy>Agnes Callamard gmail</cp:lastModifiedBy>
  <cp:revision>8</cp:revision>
  <dcterms:created xsi:type="dcterms:W3CDTF">2016-01-08T13:54:00Z</dcterms:created>
  <dcterms:modified xsi:type="dcterms:W3CDTF">2016-01-14T23:18:00Z</dcterms:modified>
</cp:coreProperties>
</file>