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18D43" w14:textId="77777777" w:rsidR="00E5569C" w:rsidRDefault="00E5569C" w:rsidP="00633EFC">
      <w:pPr>
        <w:widowControl w:val="0"/>
        <w:autoSpaceDE w:val="0"/>
        <w:autoSpaceDN w:val="0"/>
        <w:adjustRightInd w:val="0"/>
        <w:rPr>
          <w:rFonts w:ascii="Verdana" w:hAnsi="Verdana" w:cs="Verdana"/>
          <w:b/>
          <w:color w:val="171717"/>
          <w:sz w:val="32"/>
          <w:szCs w:val="32"/>
        </w:rPr>
      </w:pPr>
    </w:p>
    <w:p w14:paraId="598FE870" w14:textId="06F62386" w:rsidR="00ED2FEA" w:rsidRPr="00ED2FEA" w:rsidRDefault="00633EFC" w:rsidP="00ED2FEA">
      <w:pPr>
        <w:widowControl w:val="0"/>
        <w:autoSpaceDE w:val="0"/>
        <w:autoSpaceDN w:val="0"/>
        <w:adjustRightInd w:val="0"/>
        <w:jc w:val="center"/>
        <w:rPr>
          <w:rFonts w:asciiTheme="majorHAnsi" w:hAnsiTheme="majorHAnsi" w:cs="Verdana"/>
          <w:b/>
          <w:color w:val="171717"/>
          <w:sz w:val="32"/>
          <w:szCs w:val="32"/>
        </w:rPr>
      </w:pPr>
      <w:r w:rsidRPr="00ED2FEA">
        <w:rPr>
          <w:rFonts w:asciiTheme="majorHAnsi" w:hAnsiTheme="majorHAnsi" w:cs="Verdana"/>
          <w:b/>
          <w:color w:val="171717"/>
          <w:sz w:val="32"/>
          <w:szCs w:val="32"/>
        </w:rPr>
        <w:t>FREEDOM OF EXPRESSION</w:t>
      </w:r>
    </w:p>
    <w:p w14:paraId="05B36CF5" w14:textId="77777777" w:rsidR="00D27B60" w:rsidRDefault="00633EFC" w:rsidP="00ED2FEA">
      <w:pPr>
        <w:widowControl w:val="0"/>
        <w:autoSpaceDE w:val="0"/>
        <w:autoSpaceDN w:val="0"/>
        <w:adjustRightInd w:val="0"/>
        <w:jc w:val="center"/>
        <w:rPr>
          <w:rFonts w:asciiTheme="majorHAnsi" w:hAnsiTheme="majorHAnsi" w:cs="Verdana"/>
          <w:b/>
          <w:color w:val="171717"/>
          <w:sz w:val="32"/>
          <w:szCs w:val="32"/>
        </w:rPr>
      </w:pPr>
      <w:r w:rsidRPr="00ED2FEA">
        <w:rPr>
          <w:rFonts w:asciiTheme="majorHAnsi" w:hAnsiTheme="majorHAnsi" w:cs="Verdana"/>
          <w:b/>
          <w:color w:val="171717"/>
          <w:sz w:val="32"/>
          <w:szCs w:val="32"/>
        </w:rPr>
        <w:t>AND NATIONAL SECURITY</w:t>
      </w:r>
      <w:r w:rsidR="00D27B60">
        <w:rPr>
          <w:rFonts w:asciiTheme="majorHAnsi" w:hAnsiTheme="majorHAnsi" w:cs="Verdana"/>
          <w:b/>
          <w:color w:val="171717"/>
          <w:sz w:val="32"/>
          <w:szCs w:val="32"/>
        </w:rPr>
        <w:t xml:space="preserve">: </w:t>
      </w:r>
    </w:p>
    <w:p w14:paraId="7AA36A1A" w14:textId="146D93F0" w:rsidR="00ED2FEA" w:rsidRDefault="00B12796" w:rsidP="00ED2FEA">
      <w:pPr>
        <w:widowControl w:val="0"/>
        <w:autoSpaceDE w:val="0"/>
        <w:autoSpaceDN w:val="0"/>
        <w:adjustRightInd w:val="0"/>
        <w:jc w:val="center"/>
        <w:rPr>
          <w:rFonts w:asciiTheme="majorHAnsi" w:hAnsiTheme="majorHAnsi" w:cs="Verdana"/>
          <w:b/>
          <w:color w:val="171717"/>
          <w:sz w:val="32"/>
          <w:szCs w:val="32"/>
        </w:rPr>
      </w:pPr>
      <w:r>
        <w:rPr>
          <w:rFonts w:asciiTheme="majorHAnsi" w:hAnsiTheme="majorHAnsi" w:cs="Verdana"/>
          <w:b/>
          <w:color w:val="171717"/>
          <w:sz w:val="32"/>
          <w:szCs w:val="32"/>
        </w:rPr>
        <w:t>BALANCING FOR</w:t>
      </w:r>
      <w:r w:rsidR="00D27B60">
        <w:rPr>
          <w:rFonts w:asciiTheme="majorHAnsi" w:hAnsiTheme="majorHAnsi" w:cs="Verdana"/>
          <w:b/>
          <w:color w:val="171717"/>
          <w:sz w:val="32"/>
          <w:szCs w:val="32"/>
        </w:rPr>
        <w:t xml:space="preserve"> PROTECTION</w:t>
      </w:r>
      <w:r w:rsidR="0079321B">
        <w:rPr>
          <w:rStyle w:val="FootnoteReference"/>
          <w:rFonts w:asciiTheme="majorHAnsi" w:hAnsiTheme="majorHAnsi" w:cs="Verdana"/>
          <w:b/>
          <w:color w:val="171717"/>
          <w:sz w:val="32"/>
          <w:szCs w:val="32"/>
        </w:rPr>
        <w:footnoteReference w:id="1"/>
      </w:r>
      <w:r w:rsidR="00D27B60">
        <w:rPr>
          <w:rFonts w:asciiTheme="majorHAnsi" w:hAnsiTheme="majorHAnsi" w:cs="Verdana"/>
          <w:b/>
          <w:color w:val="171717"/>
          <w:sz w:val="32"/>
          <w:szCs w:val="32"/>
        </w:rPr>
        <w:t xml:space="preserve"> </w:t>
      </w:r>
      <w:r w:rsidR="00ED2FEA">
        <w:rPr>
          <w:rFonts w:asciiTheme="majorHAnsi" w:hAnsiTheme="majorHAnsi" w:cs="Verdana"/>
          <w:b/>
          <w:color w:val="171717"/>
          <w:sz w:val="32"/>
          <w:szCs w:val="32"/>
        </w:rPr>
        <w:t xml:space="preserve"> </w:t>
      </w:r>
    </w:p>
    <w:p w14:paraId="2064F777" w14:textId="68ED00FF" w:rsidR="00ED2FEA" w:rsidRPr="0079321B" w:rsidRDefault="00ED2FEA" w:rsidP="00ED2FEA">
      <w:pPr>
        <w:widowControl w:val="0"/>
        <w:autoSpaceDE w:val="0"/>
        <w:autoSpaceDN w:val="0"/>
        <w:adjustRightInd w:val="0"/>
        <w:jc w:val="center"/>
        <w:rPr>
          <w:rFonts w:asciiTheme="majorHAnsi" w:hAnsiTheme="majorHAnsi" w:cs="Verdana"/>
          <w:b/>
          <w:color w:val="171717"/>
          <w:sz w:val="28"/>
          <w:szCs w:val="28"/>
        </w:rPr>
      </w:pPr>
      <w:r w:rsidRPr="0079321B">
        <w:rPr>
          <w:rFonts w:asciiTheme="majorHAnsi" w:hAnsiTheme="majorHAnsi" w:cs="Verdana"/>
          <w:b/>
          <w:color w:val="171717"/>
          <w:sz w:val="28"/>
          <w:szCs w:val="28"/>
        </w:rPr>
        <w:t>Dr. Agnes Callamard</w:t>
      </w:r>
      <w:r w:rsidR="00B12796" w:rsidRPr="0079321B">
        <w:rPr>
          <w:rFonts w:asciiTheme="majorHAnsi" w:hAnsiTheme="majorHAnsi" w:cs="Verdana"/>
          <w:b/>
          <w:color w:val="171717"/>
          <w:sz w:val="28"/>
          <w:szCs w:val="28"/>
        </w:rPr>
        <w:t>, Director, Columbia Global Freedom of Expression</w:t>
      </w:r>
    </w:p>
    <w:p w14:paraId="01F78A8D" w14:textId="77777777" w:rsidR="00D27B60" w:rsidRDefault="00D27B60" w:rsidP="00ED2FEA">
      <w:pPr>
        <w:widowControl w:val="0"/>
        <w:autoSpaceDE w:val="0"/>
        <w:autoSpaceDN w:val="0"/>
        <w:adjustRightInd w:val="0"/>
        <w:jc w:val="center"/>
        <w:rPr>
          <w:rFonts w:asciiTheme="majorHAnsi" w:hAnsiTheme="majorHAnsi" w:cs="Verdana"/>
          <w:b/>
          <w:color w:val="171717"/>
        </w:rPr>
      </w:pPr>
    </w:p>
    <w:p w14:paraId="7255DE17" w14:textId="674C2441" w:rsidR="00272F1D" w:rsidRDefault="00272F1D" w:rsidP="00ED2FEA">
      <w:pPr>
        <w:widowControl w:val="0"/>
        <w:autoSpaceDE w:val="0"/>
        <w:autoSpaceDN w:val="0"/>
        <w:adjustRightInd w:val="0"/>
        <w:jc w:val="center"/>
        <w:rPr>
          <w:rFonts w:asciiTheme="majorHAnsi" w:hAnsiTheme="majorHAnsi" w:cs="Verdana"/>
          <w:b/>
          <w:color w:val="171717"/>
        </w:rPr>
      </w:pPr>
      <w:r>
        <w:rPr>
          <w:rFonts w:asciiTheme="majorHAnsi" w:hAnsiTheme="majorHAnsi" w:cs="Verdana"/>
          <w:b/>
          <w:color w:val="171717"/>
        </w:rPr>
        <w:t xml:space="preserve">An </w:t>
      </w:r>
      <w:r w:rsidR="00B12796">
        <w:rPr>
          <w:rFonts w:asciiTheme="majorHAnsi" w:hAnsiTheme="majorHAnsi" w:cs="Verdana"/>
          <w:b/>
          <w:color w:val="171717"/>
        </w:rPr>
        <w:t xml:space="preserve">overview and </w:t>
      </w:r>
      <w:r>
        <w:rPr>
          <w:rFonts w:asciiTheme="majorHAnsi" w:hAnsiTheme="majorHAnsi" w:cs="Verdana"/>
          <w:b/>
          <w:color w:val="171717"/>
        </w:rPr>
        <w:t>analysis</w:t>
      </w:r>
      <w:r w:rsidR="00D27B60">
        <w:rPr>
          <w:rFonts w:asciiTheme="majorHAnsi" w:hAnsiTheme="majorHAnsi" w:cs="Verdana"/>
          <w:b/>
          <w:color w:val="171717"/>
        </w:rPr>
        <w:t xml:space="preserve"> written for Columbia Global Freedom of Expression, </w:t>
      </w:r>
    </w:p>
    <w:p w14:paraId="3B7C53E9" w14:textId="060B8A71" w:rsidR="00D27B60" w:rsidRPr="00ED2FEA" w:rsidRDefault="00D27B60" w:rsidP="00ED2FEA">
      <w:pPr>
        <w:widowControl w:val="0"/>
        <w:autoSpaceDE w:val="0"/>
        <w:autoSpaceDN w:val="0"/>
        <w:adjustRightInd w:val="0"/>
        <w:jc w:val="center"/>
        <w:rPr>
          <w:rFonts w:asciiTheme="majorHAnsi" w:hAnsiTheme="majorHAnsi" w:cs="Verdana"/>
          <w:b/>
          <w:color w:val="171717"/>
        </w:rPr>
      </w:pPr>
      <w:r>
        <w:rPr>
          <w:rFonts w:asciiTheme="majorHAnsi" w:hAnsiTheme="majorHAnsi" w:cs="Verdana"/>
          <w:b/>
          <w:color w:val="171717"/>
        </w:rPr>
        <w:t>Judges’ Training M</w:t>
      </w:r>
      <w:r w:rsidR="00B8765A">
        <w:rPr>
          <w:rFonts w:asciiTheme="majorHAnsi" w:hAnsiTheme="majorHAnsi" w:cs="Verdana"/>
          <w:b/>
          <w:color w:val="171717"/>
        </w:rPr>
        <w:t>aterials</w:t>
      </w:r>
      <w:r w:rsidR="00B12796">
        <w:rPr>
          <w:rFonts w:asciiTheme="majorHAnsi" w:hAnsiTheme="majorHAnsi" w:cs="Verdana"/>
          <w:b/>
          <w:color w:val="171717"/>
        </w:rPr>
        <w:t xml:space="preserve">, </w:t>
      </w:r>
      <w:r w:rsidR="00A40734">
        <w:rPr>
          <w:rFonts w:asciiTheme="majorHAnsi" w:hAnsiTheme="majorHAnsi" w:cs="Verdana"/>
          <w:b/>
          <w:color w:val="171717"/>
        </w:rPr>
        <w:t>December 2015</w:t>
      </w:r>
      <w:bookmarkStart w:id="0" w:name="_GoBack"/>
      <w:bookmarkEnd w:id="0"/>
    </w:p>
    <w:p w14:paraId="47AFC2AB" w14:textId="77777777" w:rsidR="00633EFC" w:rsidRDefault="00633EFC" w:rsidP="00633EFC">
      <w:pPr>
        <w:widowControl w:val="0"/>
        <w:autoSpaceDE w:val="0"/>
        <w:autoSpaceDN w:val="0"/>
        <w:adjustRightInd w:val="0"/>
        <w:rPr>
          <w:rFonts w:ascii="Verdana" w:hAnsi="Verdana" w:cs="Verdana"/>
          <w:color w:val="171717"/>
          <w:sz w:val="32"/>
          <w:szCs w:val="32"/>
        </w:rPr>
      </w:pPr>
    </w:p>
    <w:p w14:paraId="108AFF52" w14:textId="3F7193D4" w:rsidR="00D27B60" w:rsidRPr="00D27B60" w:rsidRDefault="00D27B60" w:rsidP="00633EFC">
      <w:pPr>
        <w:widowControl w:val="0"/>
        <w:autoSpaceDE w:val="0"/>
        <w:autoSpaceDN w:val="0"/>
        <w:adjustRightInd w:val="0"/>
        <w:rPr>
          <w:rFonts w:asciiTheme="majorHAnsi" w:hAnsiTheme="majorHAnsi" w:cs="Verdana"/>
          <w:b/>
          <w:color w:val="171717"/>
          <w:sz w:val="28"/>
          <w:szCs w:val="28"/>
        </w:rPr>
      </w:pPr>
      <w:r w:rsidRPr="00D27B60">
        <w:rPr>
          <w:rFonts w:asciiTheme="majorHAnsi" w:hAnsiTheme="majorHAnsi" w:cs="Verdana"/>
          <w:b/>
          <w:color w:val="171717"/>
          <w:sz w:val="28"/>
          <w:szCs w:val="28"/>
        </w:rPr>
        <w:t>Introduction</w:t>
      </w:r>
    </w:p>
    <w:p w14:paraId="03410EDA" w14:textId="77777777" w:rsidR="00D27B60" w:rsidRDefault="00D27B60" w:rsidP="00E5569C">
      <w:pPr>
        <w:widowControl w:val="0"/>
        <w:autoSpaceDE w:val="0"/>
        <w:autoSpaceDN w:val="0"/>
        <w:adjustRightInd w:val="0"/>
        <w:jc w:val="both"/>
        <w:rPr>
          <w:rFonts w:asciiTheme="majorHAnsi" w:hAnsiTheme="majorHAnsi" w:cs="Verdana"/>
          <w:color w:val="171717"/>
        </w:rPr>
      </w:pPr>
    </w:p>
    <w:p w14:paraId="174631E2" w14:textId="7F9CA7F7" w:rsidR="00116BD7" w:rsidRDefault="00EC04E3" w:rsidP="00EC04E3">
      <w:pPr>
        <w:jc w:val="both"/>
        <w:rPr>
          <w:rFonts w:asciiTheme="majorHAnsi" w:hAnsiTheme="majorHAnsi" w:cs="Verdana"/>
          <w:color w:val="171717"/>
        </w:rPr>
      </w:pPr>
      <w:r>
        <w:rPr>
          <w:rFonts w:asciiTheme="majorHAnsi" w:hAnsiTheme="majorHAnsi" w:cs="Verdana"/>
          <w:color w:val="171717"/>
        </w:rPr>
        <w:t xml:space="preserve">The aftermath of 9/11 saw the adoption of anti-terrorism laws and </w:t>
      </w:r>
      <w:r w:rsidR="00116BD7">
        <w:rPr>
          <w:rFonts w:asciiTheme="majorHAnsi" w:hAnsiTheme="majorHAnsi" w:cs="Verdana"/>
          <w:color w:val="171717"/>
        </w:rPr>
        <w:t xml:space="preserve">policies </w:t>
      </w:r>
      <w:r>
        <w:rPr>
          <w:rFonts w:asciiTheme="majorHAnsi" w:hAnsiTheme="majorHAnsi" w:cs="Verdana"/>
          <w:color w:val="171717"/>
        </w:rPr>
        <w:t>throughout the world, many of which resulted in restrictions to freedom of expression.  In 2015, t</w:t>
      </w:r>
      <w:r w:rsidR="00116BD7">
        <w:rPr>
          <w:rFonts w:asciiTheme="majorHAnsi" w:hAnsiTheme="majorHAnsi" w:cs="Verdana"/>
          <w:color w:val="171717"/>
        </w:rPr>
        <w:t xml:space="preserve">he rise of </w:t>
      </w:r>
      <w:proofErr w:type="spellStart"/>
      <w:r w:rsidR="00116BD7">
        <w:rPr>
          <w:rFonts w:asciiTheme="majorHAnsi" w:hAnsiTheme="majorHAnsi" w:cs="Verdana"/>
          <w:color w:val="171717"/>
        </w:rPr>
        <w:t>Daesh</w:t>
      </w:r>
      <w:proofErr w:type="spellEnd"/>
      <w:r>
        <w:rPr>
          <w:rFonts w:asciiTheme="majorHAnsi" w:hAnsiTheme="majorHAnsi" w:cs="Verdana"/>
          <w:color w:val="171717"/>
        </w:rPr>
        <w:t>,</w:t>
      </w:r>
      <w:r w:rsidRPr="004D0EA5">
        <w:rPr>
          <w:rFonts w:asciiTheme="majorHAnsi" w:hAnsiTheme="majorHAnsi" w:cs="Verdana"/>
          <w:color w:val="171717"/>
        </w:rPr>
        <w:t xml:space="preserve"> responsible for terrorist attacks in Iraq, Syria, France</w:t>
      </w:r>
      <w:r>
        <w:rPr>
          <w:rFonts w:asciiTheme="majorHAnsi" w:hAnsiTheme="majorHAnsi" w:cs="Verdana"/>
          <w:color w:val="171717"/>
        </w:rPr>
        <w:t>, Turkey</w:t>
      </w:r>
      <w:r w:rsidRPr="004D0EA5">
        <w:rPr>
          <w:rFonts w:asciiTheme="majorHAnsi" w:hAnsiTheme="majorHAnsi" w:cs="Verdana"/>
          <w:color w:val="171717"/>
        </w:rPr>
        <w:t xml:space="preserve"> and Tunisia to mention a few, has </w:t>
      </w:r>
      <w:r w:rsidR="00116BD7">
        <w:rPr>
          <w:rFonts w:asciiTheme="majorHAnsi" w:hAnsiTheme="majorHAnsi" w:cs="Verdana"/>
          <w:color w:val="171717"/>
        </w:rPr>
        <w:t xml:space="preserve">led </w:t>
      </w:r>
      <w:r>
        <w:rPr>
          <w:rFonts w:asciiTheme="majorHAnsi" w:hAnsiTheme="majorHAnsi" w:cs="Verdana"/>
          <w:color w:val="171717"/>
        </w:rPr>
        <w:t xml:space="preserve">governments </w:t>
      </w:r>
      <w:r w:rsidR="00116BD7">
        <w:rPr>
          <w:rFonts w:asciiTheme="majorHAnsi" w:hAnsiTheme="majorHAnsi" w:cs="Verdana"/>
          <w:color w:val="171717"/>
        </w:rPr>
        <w:t xml:space="preserve">to adopt additional measures, including the promulgation of </w:t>
      </w:r>
      <w:r>
        <w:rPr>
          <w:rFonts w:asciiTheme="majorHAnsi" w:hAnsiTheme="majorHAnsi" w:cs="Verdana"/>
          <w:color w:val="171717"/>
        </w:rPr>
        <w:t>state of e</w:t>
      </w:r>
      <w:r w:rsidRPr="004D0EA5">
        <w:rPr>
          <w:rFonts w:asciiTheme="majorHAnsi" w:hAnsiTheme="majorHAnsi" w:cs="Verdana"/>
          <w:color w:val="171717"/>
        </w:rPr>
        <w:t xml:space="preserve">mergency, </w:t>
      </w:r>
      <w:r w:rsidR="00116BD7">
        <w:rPr>
          <w:rFonts w:asciiTheme="majorHAnsi" w:hAnsiTheme="majorHAnsi" w:cs="Verdana"/>
          <w:color w:val="171717"/>
        </w:rPr>
        <w:t xml:space="preserve">and </w:t>
      </w:r>
      <w:r w:rsidRPr="004D0EA5">
        <w:rPr>
          <w:rFonts w:asciiTheme="majorHAnsi" w:hAnsiTheme="majorHAnsi" w:cs="Verdana"/>
          <w:color w:val="171717"/>
        </w:rPr>
        <w:t>new anti-terror</w:t>
      </w:r>
      <w:r>
        <w:rPr>
          <w:rFonts w:asciiTheme="majorHAnsi" w:hAnsiTheme="majorHAnsi" w:cs="Verdana"/>
          <w:color w:val="171717"/>
        </w:rPr>
        <w:t>ism</w:t>
      </w:r>
      <w:r w:rsidRPr="004D0EA5">
        <w:rPr>
          <w:rFonts w:asciiTheme="majorHAnsi" w:hAnsiTheme="majorHAnsi" w:cs="Verdana"/>
          <w:color w:val="171717"/>
        </w:rPr>
        <w:t xml:space="preserve"> </w:t>
      </w:r>
      <w:r>
        <w:rPr>
          <w:rFonts w:asciiTheme="majorHAnsi" w:hAnsiTheme="majorHAnsi" w:cs="Verdana"/>
          <w:color w:val="171717"/>
        </w:rPr>
        <w:t>and s</w:t>
      </w:r>
      <w:r w:rsidR="00116BD7">
        <w:rPr>
          <w:rFonts w:asciiTheme="majorHAnsi" w:hAnsiTheme="majorHAnsi" w:cs="Verdana"/>
          <w:color w:val="171717"/>
        </w:rPr>
        <w:t xml:space="preserve">urveillance </w:t>
      </w:r>
      <w:r w:rsidR="00E41942">
        <w:rPr>
          <w:rFonts w:asciiTheme="majorHAnsi" w:hAnsiTheme="majorHAnsi" w:cs="Verdana"/>
          <w:color w:val="171717"/>
        </w:rPr>
        <w:t>laws</w:t>
      </w:r>
      <w:r w:rsidR="00116BD7">
        <w:rPr>
          <w:rFonts w:asciiTheme="majorHAnsi" w:hAnsiTheme="majorHAnsi" w:cs="Verdana"/>
          <w:color w:val="171717"/>
        </w:rPr>
        <w:t xml:space="preserve">. </w:t>
      </w:r>
    </w:p>
    <w:p w14:paraId="2A99EF0B" w14:textId="0583B6E7" w:rsidR="00272F1D" w:rsidRPr="00611A0F" w:rsidRDefault="00272F1D" w:rsidP="00E41942">
      <w:pPr>
        <w:jc w:val="both"/>
      </w:pPr>
    </w:p>
    <w:p w14:paraId="55D334A7" w14:textId="5C81EE37" w:rsidR="00633EFC" w:rsidRDefault="004D0EA5" w:rsidP="00E5569C">
      <w:pPr>
        <w:widowControl w:val="0"/>
        <w:autoSpaceDE w:val="0"/>
        <w:autoSpaceDN w:val="0"/>
        <w:adjustRightInd w:val="0"/>
        <w:jc w:val="both"/>
        <w:rPr>
          <w:rFonts w:asciiTheme="majorHAnsi" w:hAnsiTheme="majorHAnsi" w:cs="Verdana"/>
          <w:color w:val="171717"/>
        </w:rPr>
      </w:pPr>
      <w:r>
        <w:rPr>
          <w:rFonts w:asciiTheme="majorHAnsi" w:hAnsiTheme="majorHAnsi" w:cs="Verdana"/>
          <w:color w:val="171717"/>
        </w:rPr>
        <w:t xml:space="preserve">Courts and Judges have had to rule over </w:t>
      </w:r>
      <w:r w:rsidR="00205AC7">
        <w:rPr>
          <w:rFonts w:asciiTheme="majorHAnsi" w:hAnsiTheme="majorHAnsi" w:cs="Verdana"/>
          <w:color w:val="171717"/>
        </w:rPr>
        <w:t xml:space="preserve">an increasing number of </w:t>
      </w:r>
      <w:r w:rsidR="00B17125">
        <w:rPr>
          <w:rFonts w:asciiTheme="majorHAnsi" w:hAnsiTheme="majorHAnsi" w:cs="Verdana"/>
          <w:color w:val="171717"/>
        </w:rPr>
        <w:t xml:space="preserve">cases of </w:t>
      </w:r>
      <w:r w:rsidR="00205AC7">
        <w:rPr>
          <w:rFonts w:asciiTheme="majorHAnsi" w:hAnsiTheme="majorHAnsi" w:cs="Verdana"/>
          <w:color w:val="171717"/>
        </w:rPr>
        <w:t xml:space="preserve">people charged with various speech-related offences on the ground of </w:t>
      </w:r>
      <w:r w:rsidR="00E41942">
        <w:rPr>
          <w:rFonts w:asciiTheme="majorHAnsi" w:hAnsiTheme="majorHAnsi" w:cs="Verdana"/>
          <w:color w:val="171717"/>
        </w:rPr>
        <w:t xml:space="preserve">counter-terrorism and </w:t>
      </w:r>
      <w:r w:rsidR="00205AC7">
        <w:rPr>
          <w:rFonts w:asciiTheme="majorHAnsi" w:hAnsiTheme="majorHAnsi" w:cs="Verdana"/>
          <w:color w:val="171717"/>
        </w:rPr>
        <w:t xml:space="preserve">national security, </w:t>
      </w:r>
      <w:r w:rsidR="00E41942">
        <w:rPr>
          <w:rFonts w:asciiTheme="majorHAnsi" w:hAnsiTheme="majorHAnsi" w:cs="Verdana"/>
          <w:color w:val="171717"/>
        </w:rPr>
        <w:t xml:space="preserve">such as </w:t>
      </w:r>
      <w:r w:rsidR="00205AC7">
        <w:rPr>
          <w:rFonts w:asciiTheme="majorHAnsi" w:hAnsiTheme="majorHAnsi" w:cs="Verdana"/>
          <w:color w:val="171717"/>
        </w:rPr>
        <w:t xml:space="preserve">incitement to violence or glorification of terrorism.  </w:t>
      </w:r>
    </w:p>
    <w:p w14:paraId="36A865E1" w14:textId="77777777" w:rsidR="00B17125" w:rsidRDefault="00B17125" w:rsidP="00E5569C">
      <w:pPr>
        <w:widowControl w:val="0"/>
        <w:autoSpaceDE w:val="0"/>
        <w:autoSpaceDN w:val="0"/>
        <w:adjustRightInd w:val="0"/>
        <w:jc w:val="both"/>
        <w:rPr>
          <w:rFonts w:asciiTheme="majorHAnsi" w:hAnsiTheme="majorHAnsi" w:cs="Verdana"/>
          <w:color w:val="171717"/>
        </w:rPr>
      </w:pPr>
    </w:p>
    <w:p w14:paraId="3AD860E3" w14:textId="18AF6D0B" w:rsidR="00E74734" w:rsidRDefault="00B51E1F" w:rsidP="00E5569C">
      <w:pPr>
        <w:widowControl w:val="0"/>
        <w:autoSpaceDE w:val="0"/>
        <w:autoSpaceDN w:val="0"/>
        <w:adjustRightInd w:val="0"/>
        <w:jc w:val="both"/>
        <w:rPr>
          <w:rFonts w:asciiTheme="majorHAnsi" w:hAnsiTheme="majorHAnsi" w:cs="Verdana"/>
          <w:color w:val="171717"/>
        </w:rPr>
      </w:pPr>
      <w:r>
        <w:rPr>
          <w:rFonts w:asciiTheme="majorHAnsi" w:hAnsiTheme="majorHAnsi" w:cs="Verdana"/>
          <w:color w:val="171717"/>
        </w:rPr>
        <w:t xml:space="preserve">Historically, national security and counter-terrorism have been frequently </w:t>
      </w:r>
      <w:r w:rsidR="00D12526">
        <w:rPr>
          <w:rFonts w:asciiTheme="majorHAnsi" w:hAnsiTheme="majorHAnsi" w:cs="Verdana"/>
          <w:color w:val="171717"/>
        </w:rPr>
        <w:t xml:space="preserve">invoked </w:t>
      </w:r>
      <w:r>
        <w:rPr>
          <w:rFonts w:asciiTheme="majorHAnsi" w:hAnsiTheme="majorHAnsi" w:cs="Verdana"/>
          <w:color w:val="171717"/>
        </w:rPr>
        <w:t xml:space="preserve">by Governments to justify excessive curtailment of the right to freedom </w:t>
      </w:r>
      <w:r w:rsidR="00D12526">
        <w:rPr>
          <w:rFonts w:asciiTheme="majorHAnsi" w:hAnsiTheme="majorHAnsi" w:cs="Verdana"/>
          <w:color w:val="171717"/>
        </w:rPr>
        <w:t xml:space="preserve">of expression and other rights. </w:t>
      </w:r>
      <w:r w:rsidR="007C7274">
        <w:rPr>
          <w:rFonts w:asciiTheme="majorHAnsi" w:hAnsiTheme="majorHAnsi" w:cs="Verdana"/>
          <w:color w:val="171717"/>
        </w:rPr>
        <w:t xml:space="preserve">Such an abuse is facilitated by the difficult relationship and tension between national security and human rights protection. The Judicial Sector </w:t>
      </w:r>
      <w:r w:rsidR="00DD71E1">
        <w:rPr>
          <w:rFonts w:asciiTheme="majorHAnsi" w:hAnsiTheme="majorHAnsi" w:cs="Verdana"/>
          <w:color w:val="171717"/>
        </w:rPr>
        <w:t>should play</w:t>
      </w:r>
      <w:r w:rsidR="007C7274">
        <w:rPr>
          <w:rFonts w:asciiTheme="majorHAnsi" w:hAnsiTheme="majorHAnsi" w:cs="Verdana"/>
          <w:color w:val="171717"/>
        </w:rPr>
        <w:t xml:space="preserve"> a key role in addressi</w:t>
      </w:r>
      <w:r w:rsidR="00A2123C">
        <w:rPr>
          <w:rFonts w:asciiTheme="majorHAnsi" w:hAnsiTheme="majorHAnsi" w:cs="Verdana"/>
          <w:color w:val="171717"/>
        </w:rPr>
        <w:t>ng and resolving this tension</w:t>
      </w:r>
      <w:r w:rsidR="007716E9">
        <w:rPr>
          <w:rStyle w:val="FootnoteReference"/>
          <w:rFonts w:asciiTheme="majorHAnsi" w:hAnsiTheme="majorHAnsi" w:cs="Verdana"/>
          <w:color w:val="171717"/>
        </w:rPr>
        <w:footnoteReference w:id="2"/>
      </w:r>
      <w:r w:rsidR="00A2123C">
        <w:rPr>
          <w:rFonts w:asciiTheme="majorHAnsi" w:hAnsiTheme="majorHAnsi" w:cs="Verdana"/>
          <w:color w:val="171717"/>
        </w:rPr>
        <w:t xml:space="preserve">. </w:t>
      </w:r>
      <w:r w:rsidR="007C7274">
        <w:rPr>
          <w:rFonts w:asciiTheme="majorHAnsi" w:hAnsiTheme="majorHAnsi" w:cs="Verdana"/>
          <w:color w:val="171717"/>
        </w:rPr>
        <w:t xml:space="preserve">It does so through a </w:t>
      </w:r>
      <w:r w:rsidR="007C7274" w:rsidRPr="007716E9">
        <w:rPr>
          <w:rFonts w:asciiTheme="majorHAnsi" w:hAnsiTheme="majorHAnsi" w:cs="Verdana"/>
          <w:color w:val="171717"/>
          <w:u w:val="single"/>
        </w:rPr>
        <w:t>balancing</w:t>
      </w:r>
      <w:r w:rsidR="007C7274">
        <w:rPr>
          <w:rFonts w:asciiTheme="majorHAnsi" w:hAnsiTheme="majorHAnsi" w:cs="Verdana"/>
          <w:color w:val="171717"/>
        </w:rPr>
        <w:t xml:space="preserve"> exercise </w:t>
      </w:r>
      <w:r w:rsidR="007C7274" w:rsidRPr="00A2123C">
        <w:rPr>
          <w:rFonts w:asciiTheme="majorHAnsi" w:hAnsiTheme="majorHAnsi" w:cs="Verdana"/>
          <w:color w:val="171717"/>
        </w:rPr>
        <w:t xml:space="preserve">between national security and the protection of human rights, including freedom of expression. </w:t>
      </w:r>
    </w:p>
    <w:p w14:paraId="02E2077F" w14:textId="77777777" w:rsidR="00E74734" w:rsidRDefault="00E74734" w:rsidP="00E5569C">
      <w:pPr>
        <w:widowControl w:val="0"/>
        <w:autoSpaceDE w:val="0"/>
        <w:autoSpaceDN w:val="0"/>
        <w:adjustRightInd w:val="0"/>
        <w:jc w:val="both"/>
        <w:rPr>
          <w:rFonts w:asciiTheme="majorHAnsi" w:hAnsiTheme="majorHAnsi" w:cs="Verdana"/>
          <w:color w:val="171717"/>
        </w:rPr>
      </w:pPr>
    </w:p>
    <w:p w14:paraId="58BD2237" w14:textId="082AAA24" w:rsidR="007C7274" w:rsidRPr="00F43897" w:rsidRDefault="006B0DC6" w:rsidP="00E5569C">
      <w:pPr>
        <w:widowControl w:val="0"/>
        <w:autoSpaceDE w:val="0"/>
        <w:autoSpaceDN w:val="0"/>
        <w:adjustRightInd w:val="0"/>
        <w:jc w:val="both"/>
        <w:rPr>
          <w:rFonts w:asciiTheme="majorHAnsi" w:hAnsiTheme="majorHAnsi" w:cs="Verdana"/>
          <w:b/>
          <w:color w:val="171717"/>
        </w:rPr>
      </w:pPr>
      <w:r w:rsidRPr="00F43897">
        <w:rPr>
          <w:rFonts w:asciiTheme="majorHAnsi" w:hAnsiTheme="majorHAnsi" w:cs="Verdana"/>
          <w:b/>
          <w:color w:val="171717"/>
        </w:rPr>
        <w:t>Ove</w:t>
      </w:r>
      <w:r w:rsidR="00F43897" w:rsidRPr="00F43897">
        <w:rPr>
          <w:rFonts w:asciiTheme="majorHAnsi" w:hAnsiTheme="majorHAnsi" w:cs="Verdana"/>
          <w:b/>
          <w:color w:val="171717"/>
        </w:rPr>
        <w:t xml:space="preserve">r time, a set of </w:t>
      </w:r>
      <w:r w:rsidR="00272F1D">
        <w:rPr>
          <w:rFonts w:asciiTheme="majorHAnsi" w:hAnsiTheme="majorHAnsi" w:cs="Verdana"/>
          <w:b/>
          <w:color w:val="171717"/>
        </w:rPr>
        <w:t xml:space="preserve">general </w:t>
      </w:r>
      <w:r w:rsidR="00F43897" w:rsidRPr="00F43897">
        <w:rPr>
          <w:rFonts w:asciiTheme="majorHAnsi" w:hAnsiTheme="majorHAnsi" w:cs="Verdana"/>
          <w:b/>
          <w:color w:val="171717"/>
        </w:rPr>
        <w:t>principles has</w:t>
      </w:r>
      <w:r w:rsidRPr="00F43897">
        <w:rPr>
          <w:rFonts w:asciiTheme="majorHAnsi" w:hAnsiTheme="majorHAnsi" w:cs="Verdana"/>
          <w:b/>
          <w:color w:val="171717"/>
        </w:rPr>
        <w:t xml:space="preserve"> emerged that should guide </w:t>
      </w:r>
      <w:r w:rsidR="00272F1D">
        <w:rPr>
          <w:rFonts w:asciiTheme="majorHAnsi" w:hAnsiTheme="majorHAnsi" w:cs="Verdana"/>
          <w:b/>
          <w:color w:val="171717"/>
        </w:rPr>
        <w:t>Courts</w:t>
      </w:r>
      <w:r w:rsidR="00DD71E1">
        <w:rPr>
          <w:rFonts w:asciiTheme="majorHAnsi" w:hAnsiTheme="majorHAnsi" w:cs="Verdana"/>
          <w:b/>
          <w:color w:val="171717"/>
        </w:rPr>
        <w:t xml:space="preserve"> in approaching national security cases</w:t>
      </w:r>
      <w:r w:rsidR="00F43897" w:rsidRPr="00F43897">
        <w:rPr>
          <w:rFonts w:asciiTheme="majorHAnsi" w:hAnsiTheme="majorHAnsi" w:cs="Verdana"/>
          <w:b/>
          <w:color w:val="171717"/>
        </w:rPr>
        <w:t>:</w:t>
      </w:r>
      <w:r w:rsidRPr="00F43897">
        <w:rPr>
          <w:rFonts w:asciiTheme="majorHAnsi" w:hAnsiTheme="majorHAnsi" w:cs="Verdana"/>
          <w:b/>
          <w:color w:val="171717"/>
        </w:rPr>
        <w:t xml:space="preserve"> </w:t>
      </w:r>
    </w:p>
    <w:p w14:paraId="33803D5B" w14:textId="77777777" w:rsidR="006B0DC6" w:rsidRDefault="006B0DC6" w:rsidP="00E5569C">
      <w:pPr>
        <w:widowControl w:val="0"/>
        <w:autoSpaceDE w:val="0"/>
        <w:autoSpaceDN w:val="0"/>
        <w:adjustRightInd w:val="0"/>
        <w:jc w:val="both"/>
        <w:rPr>
          <w:rFonts w:asciiTheme="majorHAnsi" w:hAnsiTheme="majorHAnsi" w:cs="Verdana"/>
          <w:color w:val="171717"/>
        </w:rPr>
      </w:pPr>
    </w:p>
    <w:p w14:paraId="3EF08170" w14:textId="52F523F1" w:rsidR="007C7274" w:rsidRDefault="00E74734" w:rsidP="002321CE">
      <w:pPr>
        <w:pStyle w:val="ListParagraph"/>
        <w:widowControl w:val="0"/>
        <w:numPr>
          <w:ilvl w:val="0"/>
          <w:numId w:val="15"/>
        </w:numPr>
        <w:autoSpaceDE w:val="0"/>
        <w:autoSpaceDN w:val="0"/>
        <w:adjustRightInd w:val="0"/>
        <w:jc w:val="both"/>
        <w:rPr>
          <w:rFonts w:asciiTheme="majorHAnsi" w:hAnsiTheme="majorHAnsi" w:cs="Arial"/>
        </w:rPr>
      </w:pPr>
      <w:r>
        <w:rPr>
          <w:rFonts w:asciiTheme="majorHAnsi" w:hAnsiTheme="majorHAnsi" w:cs="Arial"/>
        </w:rPr>
        <w:t xml:space="preserve">Some </w:t>
      </w:r>
      <w:r w:rsidR="006B0DC6" w:rsidRPr="00D27B60">
        <w:rPr>
          <w:rFonts w:asciiTheme="majorHAnsi" w:hAnsiTheme="majorHAnsi" w:cs="Arial"/>
        </w:rPr>
        <w:t>human rights</w:t>
      </w:r>
      <w:r w:rsidR="00CA2083" w:rsidRPr="00D27B60">
        <w:rPr>
          <w:rFonts w:asciiTheme="majorHAnsi" w:hAnsiTheme="majorHAnsi" w:cs="Arial"/>
        </w:rPr>
        <w:t xml:space="preserve">, </w:t>
      </w:r>
      <w:r>
        <w:rPr>
          <w:rFonts w:asciiTheme="majorHAnsi" w:hAnsiTheme="majorHAnsi" w:cs="Arial"/>
        </w:rPr>
        <w:t xml:space="preserve">defined under </w:t>
      </w:r>
      <w:r w:rsidR="00CA2083" w:rsidRPr="00D27B60">
        <w:rPr>
          <w:rFonts w:asciiTheme="majorHAnsi" w:hAnsiTheme="majorHAnsi" w:cs="Arial"/>
        </w:rPr>
        <w:t>article 4 of the ICCPR</w:t>
      </w:r>
      <w:r>
        <w:rPr>
          <w:rFonts w:asciiTheme="majorHAnsi" w:hAnsiTheme="majorHAnsi" w:cs="Arial"/>
        </w:rPr>
        <w:t>, can never be suspended, including during state of emergency</w:t>
      </w:r>
      <w:r w:rsidR="00F43897">
        <w:rPr>
          <w:rFonts w:asciiTheme="majorHAnsi" w:hAnsiTheme="majorHAnsi" w:cs="Arial"/>
        </w:rPr>
        <w:t xml:space="preserve"> (See Section I.1 below)</w:t>
      </w:r>
      <w:r w:rsidR="006B0DC6" w:rsidRPr="00D27B60">
        <w:rPr>
          <w:rFonts w:asciiTheme="majorHAnsi" w:hAnsiTheme="majorHAnsi" w:cs="Arial"/>
        </w:rPr>
        <w:t xml:space="preserve">  </w:t>
      </w:r>
    </w:p>
    <w:p w14:paraId="3C6CF3F9" w14:textId="77777777" w:rsidR="00E74734" w:rsidRPr="00D27B60" w:rsidRDefault="00E74734" w:rsidP="00E74734">
      <w:pPr>
        <w:pStyle w:val="ListParagraph"/>
        <w:widowControl w:val="0"/>
        <w:autoSpaceDE w:val="0"/>
        <w:autoSpaceDN w:val="0"/>
        <w:adjustRightInd w:val="0"/>
        <w:jc w:val="both"/>
        <w:rPr>
          <w:rFonts w:asciiTheme="majorHAnsi" w:hAnsiTheme="majorHAnsi" w:cs="Arial"/>
        </w:rPr>
      </w:pPr>
    </w:p>
    <w:p w14:paraId="77C1C000" w14:textId="67CDEF3B" w:rsidR="002321CE" w:rsidRPr="00F43897" w:rsidRDefault="00D27B60" w:rsidP="002321CE">
      <w:pPr>
        <w:pStyle w:val="ListParagraph"/>
        <w:widowControl w:val="0"/>
        <w:numPr>
          <w:ilvl w:val="0"/>
          <w:numId w:val="15"/>
        </w:numPr>
        <w:autoSpaceDE w:val="0"/>
        <w:autoSpaceDN w:val="0"/>
        <w:adjustRightInd w:val="0"/>
        <w:jc w:val="both"/>
        <w:rPr>
          <w:rFonts w:asciiTheme="majorHAnsi" w:hAnsiTheme="majorHAnsi" w:cs="Verdana"/>
          <w:color w:val="171717"/>
        </w:rPr>
      </w:pPr>
      <w:r>
        <w:rPr>
          <w:rFonts w:asciiTheme="majorHAnsi" w:hAnsiTheme="majorHAnsi" w:cs="Verdana"/>
          <w:color w:val="171717"/>
        </w:rPr>
        <w:lastRenderedPageBreak/>
        <w:t xml:space="preserve">Other rights may be restricted under the conditions set out by international human rights law.  </w:t>
      </w:r>
      <w:r w:rsidR="002321CE">
        <w:rPr>
          <w:rFonts w:asciiTheme="majorHAnsi" w:hAnsiTheme="majorHAnsi" w:cs="Verdana"/>
          <w:color w:val="171717"/>
        </w:rPr>
        <w:t xml:space="preserve">Freedom of Expression may be restricted under </w:t>
      </w:r>
      <w:r>
        <w:rPr>
          <w:rFonts w:asciiTheme="majorHAnsi" w:hAnsiTheme="majorHAnsi" w:cs="Verdana"/>
          <w:color w:val="171717"/>
        </w:rPr>
        <w:t xml:space="preserve">the </w:t>
      </w:r>
      <w:r w:rsidR="002321CE">
        <w:rPr>
          <w:rFonts w:asciiTheme="majorHAnsi" w:hAnsiTheme="majorHAnsi" w:cs="Verdana"/>
          <w:color w:val="171717"/>
        </w:rPr>
        <w:t xml:space="preserve">conditions defined </w:t>
      </w:r>
      <w:r>
        <w:rPr>
          <w:rFonts w:asciiTheme="majorHAnsi" w:hAnsiTheme="majorHAnsi" w:cs="Verdana"/>
          <w:color w:val="171717"/>
        </w:rPr>
        <w:t xml:space="preserve">by </w:t>
      </w:r>
      <w:r w:rsidR="002321CE">
        <w:rPr>
          <w:rFonts w:asciiTheme="majorHAnsi" w:hAnsiTheme="majorHAnsi" w:cs="Verdana"/>
          <w:color w:val="171717"/>
        </w:rPr>
        <w:t>article 19 (3)</w:t>
      </w:r>
      <w:r>
        <w:rPr>
          <w:rFonts w:asciiTheme="majorHAnsi" w:hAnsiTheme="majorHAnsi" w:cs="Verdana"/>
          <w:color w:val="171717"/>
        </w:rPr>
        <w:t xml:space="preserve">; the </w:t>
      </w:r>
      <w:r w:rsidRPr="00F43897">
        <w:rPr>
          <w:rFonts w:asciiTheme="majorHAnsi" w:hAnsiTheme="majorHAnsi" w:cs="Verdana"/>
          <w:b/>
          <w:color w:val="171717"/>
        </w:rPr>
        <w:t>fundamental test is that of proportionality</w:t>
      </w:r>
      <w:r w:rsidR="00F43897">
        <w:rPr>
          <w:rFonts w:asciiTheme="majorHAnsi" w:hAnsiTheme="majorHAnsi" w:cs="Verdana"/>
          <w:b/>
          <w:color w:val="171717"/>
        </w:rPr>
        <w:t xml:space="preserve"> </w:t>
      </w:r>
      <w:r w:rsidR="00F43897" w:rsidRPr="00F43897">
        <w:rPr>
          <w:rFonts w:asciiTheme="majorHAnsi" w:hAnsiTheme="majorHAnsi" w:cs="Verdana"/>
          <w:color w:val="171717"/>
        </w:rPr>
        <w:t>(See Section I.2)</w:t>
      </w:r>
    </w:p>
    <w:p w14:paraId="355E87EF" w14:textId="77777777" w:rsidR="00D27B60" w:rsidRPr="00F64EBC" w:rsidRDefault="00D27B60" w:rsidP="00D27B60">
      <w:pPr>
        <w:pStyle w:val="ListParagraph"/>
        <w:widowControl w:val="0"/>
        <w:autoSpaceDE w:val="0"/>
        <w:autoSpaceDN w:val="0"/>
        <w:adjustRightInd w:val="0"/>
        <w:jc w:val="both"/>
        <w:rPr>
          <w:rFonts w:asciiTheme="majorHAnsi" w:hAnsiTheme="majorHAnsi" w:cs="Verdana"/>
          <w:color w:val="171717"/>
        </w:rPr>
      </w:pPr>
    </w:p>
    <w:p w14:paraId="713F46B9" w14:textId="6D74D38A" w:rsidR="00F64EBC" w:rsidRPr="00036156" w:rsidRDefault="00036156" w:rsidP="002321CE">
      <w:pPr>
        <w:pStyle w:val="ListParagraph"/>
        <w:widowControl w:val="0"/>
        <w:numPr>
          <w:ilvl w:val="0"/>
          <w:numId w:val="15"/>
        </w:numPr>
        <w:autoSpaceDE w:val="0"/>
        <w:autoSpaceDN w:val="0"/>
        <w:adjustRightInd w:val="0"/>
        <w:jc w:val="both"/>
        <w:rPr>
          <w:rFonts w:asciiTheme="majorHAnsi" w:hAnsiTheme="majorHAnsi" w:cs="Verdana"/>
          <w:color w:val="171717"/>
        </w:rPr>
      </w:pPr>
      <w:r>
        <w:rPr>
          <w:rFonts w:asciiTheme="majorHAnsi" w:hAnsiTheme="majorHAnsi" w:cs="Arial"/>
        </w:rPr>
        <w:t xml:space="preserve"> </w:t>
      </w:r>
      <w:r w:rsidR="0079321B">
        <w:rPr>
          <w:rFonts w:asciiTheme="majorHAnsi" w:hAnsiTheme="majorHAnsi" w:cs="Arial"/>
        </w:rPr>
        <w:t>“</w:t>
      </w:r>
      <w:r w:rsidR="00F64EBC" w:rsidRPr="00F64EBC">
        <w:rPr>
          <w:rFonts w:asciiTheme="majorHAnsi" w:hAnsiTheme="majorHAnsi" w:cs="Arial"/>
        </w:rPr>
        <w:t>When an individual’s rights are violated as a result of the misuse or abuse of national security or counter-terrorism powers, the individual should have access to an effective remedy</w:t>
      </w:r>
      <w:r w:rsidR="00F64EBC">
        <w:rPr>
          <w:rFonts w:asciiTheme="majorHAnsi" w:hAnsiTheme="majorHAnsi" w:cs="Arial"/>
        </w:rPr>
        <w:t>,</w:t>
      </w:r>
      <w:r w:rsidR="00F64EBC" w:rsidRPr="00F64EBC">
        <w:rPr>
          <w:rFonts w:asciiTheme="majorHAnsi" w:hAnsiTheme="majorHAnsi" w:cs="Arial"/>
        </w:rPr>
        <w:t xml:space="preserve"> which may, depending on the damage suffered, include compensation. This approach is consistent with article 2(3) of the ICCPR</w:t>
      </w:r>
      <w:r w:rsidR="00F64EBC">
        <w:rPr>
          <w:rFonts w:asciiTheme="majorHAnsi" w:hAnsiTheme="majorHAnsi" w:cs="Arial"/>
        </w:rPr>
        <w:t>,</w:t>
      </w:r>
      <w:r w:rsidR="00F64EBC" w:rsidRPr="00F64EBC">
        <w:rPr>
          <w:rFonts w:asciiTheme="majorHAnsi" w:hAnsiTheme="majorHAnsi" w:cs="Arial"/>
        </w:rPr>
        <w:t xml:space="preserve"> which provides that a person has a right to an effective remedy if his or her human rights are violated</w:t>
      </w:r>
      <w:r w:rsidR="0079321B">
        <w:rPr>
          <w:rFonts w:asciiTheme="majorHAnsi" w:hAnsiTheme="majorHAnsi" w:cs="Arial"/>
        </w:rPr>
        <w:t>”</w:t>
      </w:r>
      <w:r w:rsidR="00F43897">
        <w:rPr>
          <w:rStyle w:val="FootnoteReference"/>
          <w:rFonts w:asciiTheme="majorHAnsi" w:hAnsiTheme="majorHAnsi" w:cs="Arial"/>
        </w:rPr>
        <w:footnoteReference w:id="3"/>
      </w:r>
      <w:r w:rsidR="00F64EBC" w:rsidRPr="00F64EBC">
        <w:rPr>
          <w:rFonts w:asciiTheme="majorHAnsi" w:hAnsiTheme="majorHAnsi" w:cs="Arial"/>
        </w:rPr>
        <w:t>.</w:t>
      </w:r>
    </w:p>
    <w:p w14:paraId="746A8A73" w14:textId="77777777" w:rsidR="00036156" w:rsidRPr="00036156" w:rsidRDefault="00036156" w:rsidP="00036156">
      <w:pPr>
        <w:widowControl w:val="0"/>
        <w:autoSpaceDE w:val="0"/>
        <w:autoSpaceDN w:val="0"/>
        <w:adjustRightInd w:val="0"/>
        <w:jc w:val="both"/>
        <w:rPr>
          <w:rFonts w:asciiTheme="majorHAnsi" w:hAnsiTheme="majorHAnsi" w:cs="Verdana"/>
          <w:color w:val="171717"/>
        </w:rPr>
      </w:pPr>
    </w:p>
    <w:p w14:paraId="35E43771" w14:textId="46E39286" w:rsidR="00036156" w:rsidRPr="00036156" w:rsidRDefault="00036156" w:rsidP="00036156">
      <w:pPr>
        <w:pStyle w:val="ListParagraph"/>
        <w:widowControl w:val="0"/>
        <w:numPr>
          <w:ilvl w:val="0"/>
          <w:numId w:val="15"/>
        </w:numPr>
        <w:autoSpaceDE w:val="0"/>
        <w:autoSpaceDN w:val="0"/>
        <w:adjustRightInd w:val="0"/>
        <w:jc w:val="both"/>
        <w:rPr>
          <w:rFonts w:asciiTheme="majorHAnsi" w:hAnsiTheme="majorHAnsi" w:cs="Verdana"/>
          <w:color w:val="171717"/>
        </w:rPr>
      </w:pPr>
      <w:r w:rsidRPr="00F64EBC">
        <w:rPr>
          <w:rFonts w:asciiTheme="majorHAnsi" w:hAnsiTheme="majorHAnsi" w:cs="Arial"/>
        </w:rPr>
        <w:t>Those charged with national security offences must have their guilt or innocence determined in the judicial arena</w:t>
      </w:r>
      <w:proofErr w:type="gramStart"/>
      <w:r w:rsidRPr="00F64EBC">
        <w:rPr>
          <w:rFonts w:asciiTheme="majorHAnsi" w:hAnsiTheme="majorHAnsi" w:cs="Arial"/>
        </w:rPr>
        <w:t>;</w:t>
      </w:r>
      <w:proofErr w:type="gramEnd"/>
      <w:r w:rsidRPr="00F64EBC">
        <w:rPr>
          <w:rFonts w:asciiTheme="majorHAnsi" w:hAnsiTheme="majorHAnsi" w:cs="Arial"/>
        </w:rPr>
        <w:t xml:space="preserve"> not by politicians, public opinion or the Media.</w:t>
      </w:r>
    </w:p>
    <w:p w14:paraId="49D4FE25" w14:textId="77777777" w:rsidR="00A2123C" w:rsidRPr="00F64EBC" w:rsidRDefault="00A2123C" w:rsidP="00E5569C">
      <w:pPr>
        <w:widowControl w:val="0"/>
        <w:autoSpaceDE w:val="0"/>
        <w:autoSpaceDN w:val="0"/>
        <w:adjustRightInd w:val="0"/>
        <w:jc w:val="both"/>
        <w:rPr>
          <w:rFonts w:asciiTheme="majorHAnsi" w:hAnsiTheme="majorHAnsi" w:cs="Verdana"/>
          <w:color w:val="171717"/>
        </w:rPr>
      </w:pPr>
    </w:p>
    <w:tbl>
      <w:tblPr>
        <w:tblStyle w:val="TableGrid"/>
        <w:tblW w:w="0" w:type="auto"/>
        <w:tblLook w:val="04A0" w:firstRow="1" w:lastRow="0" w:firstColumn="1" w:lastColumn="0" w:noHBand="0" w:noVBand="1"/>
      </w:tblPr>
      <w:tblGrid>
        <w:gridCol w:w="8856"/>
      </w:tblGrid>
      <w:tr w:rsidR="00F64EBC" w14:paraId="6515B1C7" w14:textId="77777777" w:rsidTr="006D6209">
        <w:tc>
          <w:tcPr>
            <w:tcW w:w="8856" w:type="dxa"/>
            <w:shd w:val="clear" w:color="auto" w:fill="BFBFBF" w:themeFill="background1" w:themeFillShade="BF"/>
          </w:tcPr>
          <w:p w14:paraId="4F770D5A" w14:textId="1422B1A6" w:rsidR="00F64EBC" w:rsidRPr="00F64EBC" w:rsidRDefault="00F64EBC" w:rsidP="00F64EBC">
            <w:pPr>
              <w:widowControl w:val="0"/>
              <w:autoSpaceDE w:val="0"/>
              <w:autoSpaceDN w:val="0"/>
              <w:adjustRightInd w:val="0"/>
              <w:jc w:val="center"/>
              <w:rPr>
                <w:rFonts w:asciiTheme="majorHAnsi" w:hAnsiTheme="majorHAnsi" w:cs="Arial"/>
                <w:b/>
              </w:rPr>
            </w:pPr>
            <w:r w:rsidRPr="00F64EBC">
              <w:rPr>
                <w:rFonts w:asciiTheme="majorHAnsi" w:hAnsiTheme="majorHAnsi" w:cs="Arial"/>
                <w:b/>
              </w:rPr>
              <w:t>Lord Chancellor of the United Kingdom, Lord Falconer, observed in 2006:</w:t>
            </w:r>
          </w:p>
          <w:p w14:paraId="1205DEFC" w14:textId="77777777" w:rsidR="00F64EBC" w:rsidRPr="00F64EBC" w:rsidRDefault="00F64EBC" w:rsidP="00F64EBC">
            <w:pPr>
              <w:widowControl w:val="0"/>
              <w:autoSpaceDE w:val="0"/>
              <w:autoSpaceDN w:val="0"/>
              <w:adjustRightInd w:val="0"/>
              <w:jc w:val="both"/>
              <w:rPr>
                <w:rFonts w:asciiTheme="majorHAnsi" w:hAnsiTheme="majorHAnsi" w:cs="Arial"/>
              </w:rPr>
            </w:pPr>
          </w:p>
          <w:p w14:paraId="0C521BAD" w14:textId="0AAC2631" w:rsidR="00F64EBC" w:rsidRPr="00F64EBC" w:rsidRDefault="00F64EBC" w:rsidP="00F64EBC">
            <w:pPr>
              <w:widowControl w:val="0"/>
              <w:autoSpaceDE w:val="0"/>
              <w:autoSpaceDN w:val="0"/>
              <w:adjustRightInd w:val="0"/>
              <w:jc w:val="both"/>
              <w:rPr>
                <w:rFonts w:asciiTheme="majorHAnsi" w:hAnsiTheme="majorHAnsi" w:cs="Verdana"/>
                <w:color w:val="171717"/>
              </w:rPr>
            </w:pPr>
            <w:r>
              <w:rPr>
                <w:rFonts w:asciiTheme="majorHAnsi" w:hAnsiTheme="majorHAnsi" w:cs="Arial"/>
              </w:rPr>
              <w:t>“</w:t>
            </w:r>
            <w:r w:rsidR="00DD71E1">
              <w:rPr>
                <w:rFonts w:asciiTheme="majorHAnsi" w:hAnsiTheme="majorHAnsi" w:cs="Arial"/>
              </w:rPr>
              <w:t>…C</w:t>
            </w:r>
            <w:r w:rsidRPr="00F64EBC">
              <w:rPr>
                <w:rFonts w:asciiTheme="majorHAnsi" w:hAnsiTheme="majorHAnsi" w:cs="Arial"/>
              </w:rPr>
              <w:t xml:space="preserve">ourts are not conducting the fight against terrorism. Nor are they deciding the measures to be used.  The level of threat, and the extent to which exceptional measures are required, are for the executive, or the legislature.  The questions the courts in the UK ask are:  </w:t>
            </w:r>
            <w:r w:rsidRPr="00F43897">
              <w:rPr>
                <w:rFonts w:asciiTheme="majorHAnsi" w:hAnsiTheme="majorHAnsi" w:cs="Arial"/>
                <w:b/>
              </w:rPr>
              <w:t>first, do these measures infringe any individu</w:t>
            </w:r>
            <w:r w:rsidR="00F43897">
              <w:rPr>
                <w:rFonts w:asciiTheme="majorHAnsi" w:hAnsiTheme="majorHAnsi" w:cs="Arial"/>
                <w:b/>
              </w:rPr>
              <w:t>al's fundamental human rights; </w:t>
            </w:r>
            <w:r w:rsidRPr="00F43897">
              <w:rPr>
                <w:rFonts w:asciiTheme="majorHAnsi" w:hAnsiTheme="majorHAnsi" w:cs="Arial"/>
                <w:b/>
              </w:rPr>
              <w:t>second if they do, is there a justification for the infringement; and third, is the infringement the minimum necessary to protect our democracy</w:t>
            </w:r>
            <w:r w:rsidRPr="00F64EBC">
              <w:rPr>
                <w:rFonts w:asciiTheme="majorHAnsi" w:hAnsiTheme="majorHAnsi" w:cs="Arial"/>
              </w:rPr>
              <w:t>?</w:t>
            </w:r>
            <w:r w:rsidR="00F43897">
              <w:rPr>
                <w:rStyle w:val="FootnoteReference"/>
                <w:rFonts w:asciiTheme="majorHAnsi" w:hAnsiTheme="majorHAnsi" w:cs="Arial"/>
              </w:rPr>
              <w:footnoteReference w:id="4"/>
            </w:r>
            <w:r>
              <w:rPr>
                <w:rFonts w:asciiTheme="majorHAnsi" w:hAnsiTheme="majorHAnsi" w:cs="Arial"/>
              </w:rPr>
              <w:t>”</w:t>
            </w:r>
          </w:p>
          <w:p w14:paraId="44FC8367" w14:textId="77777777" w:rsidR="00F64EBC" w:rsidRPr="00F64EBC" w:rsidRDefault="00F64EBC" w:rsidP="00F64EBC">
            <w:pPr>
              <w:widowControl w:val="0"/>
              <w:autoSpaceDE w:val="0"/>
              <w:autoSpaceDN w:val="0"/>
              <w:adjustRightInd w:val="0"/>
              <w:jc w:val="both"/>
              <w:rPr>
                <w:rFonts w:asciiTheme="majorHAnsi" w:hAnsiTheme="majorHAnsi" w:cs="Verdana"/>
                <w:color w:val="171717"/>
              </w:rPr>
            </w:pPr>
          </w:p>
          <w:p w14:paraId="1D975AA4" w14:textId="27C2FC98" w:rsidR="00F64EBC" w:rsidRPr="00F64EBC" w:rsidRDefault="00F43897" w:rsidP="00F64EBC">
            <w:pPr>
              <w:widowControl w:val="0"/>
              <w:autoSpaceDE w:val="0"/>
              <w:autoSpaceDN w:val="0"/>
              <w:adjustRightInd w:val="0"/>
              <w:rPr>
                <w:rFonts w:asciiTheme="majorHAnsi" w:hAnsiTheme="majorHAnsi" w:cs="Arial"/>
              </w:rPr>
            </w:pPr>
            <w:r>
              <w:rPr>
                <w:rFonts w:asciiTheme="majorHAnsi" w:hAnsiTheme="majorHAnsi" w:cs="Arial"/>
              </w:rPr>
              <w:t>“</w:t>
            </w:r>
            <w:r w:rsidR="00F64EBC" w:rsidRPr="00F64EBC">
              <w:rPr>
                <w:rFonts w:asciiTheme="majorHAnsi" w:hAnsiTheme="majorHAnsi" w:cs="Arial"/>
              </w:rPr>
              <w:t>Giving the courts the power to ask these questions is essential to give effect to democratic values and to ensure the human rights compatibility of counter-terrorism measures</w:t>
            </w:r>
            <w:r>
              <w:rPr>
                <w:rFonts w:asciiTheme="majorHAnsi" w:hAnsiTheme="majorHAnsi" w:cs="Arial"/>
              </w:rPr>
              <w:t>”</w:t>
            </w:r>
            <w:r>
              <w:rPr>
                <w:rStyle w:val="FootnoteReference"/>
                <w:rFonts w:asciiTheme="majorHAnsi" w:hAnsiTheme="majorHAnsi" w:cs="Arial"/>
              </w:rPr>
              <w:footnoteReference w:id="5"/>
            </w:r>
            <w:r w:rsidR="00F64EBC" w:rsidRPr="00F64EBC">
              <w:rPr>
                <w:rFonts w:asciiTheme="majorHAnsi" w:hAnsiTheme="majorHAnsi" w:cs="Arial"/>
              </w:rPr>
              <w:t>.</w:t>
            </w:r>
          </w:p>
          <w:p w14:paraId="62334CC9" w14:textId="77777777" w:rsidR="00F64EBC" w:rsidRDefault="00F64EBC" w:rsidP="00F43897">
            <w:pPr>
              <w:widowControl w:val="0"/>
              <w:autoSpaceDE w:val="0"/>
              <w:autoSpaceDN w:val="0"/>
              <w:adjustRightInd w:val="0"/>
              <w:jc w:val="both"/>
              <w:rPr>
                <w:rFonts w:asciiTheme="majorHAnsi" w:hAnsiTheme="majorHAnsi" w:cs="Verdana"/>
                <w:color w:val="171717"/>
              </w:rPr>
            </w:pPr>
          </w:p>
        </w:tc>
      </w:tr>
    </w:tbl>
    <w:p w14:paraId="62E07A44" w14:textId="77777777" w:rsidR="00F64EBC" w:rsidRDefault="00F64EBC" w:rsidP="00F64EBC">
      <w:pPr>
        <w:widowControl w:val="0"/>
        <w:autoSpaceDE w:val="0"/>
        <w:autoSpaceDN w:val="0"/>
        <w:adjustRightInd w:val="0"/>
        <w:jc w:val="both"/>
        <w:rPr>
          <w:rFonts w:asciiTheme="majorHAnsi" w:hAnsiTheme="majorHAnsi" w:cs="Verdana"/>
          <w:color w:val="171717"/>
        </w:rPr>
      </w:pPr>
    </w:p>
    <w:p w14:paraId="755941D3" w14:textId="76AE7989" w:rsidR="00B17125" w:rsidRPr="004D0EA5" w:rsidRDefault="00B17125" w:rsidP="00E5569C">
      <w:pPr>
        <w:widowControl w:val="0"/>
        <w:autoSpaceDE w:val="0"/>
        <w:autoSpaceDN w:val="0"/>
        <w:adjustRightInd w:val="0"/>
        <w:jc w:val="both"/>
        <w:rPr>
          <w:rFonts w:asciiTheme="majorHAnsi" w:hAnsiTheme="majorHAnsi" w:cs="Verdana"/>
          <w:color w:val="171717"/>
        </w:rPr>
      </w:pPr>
      <w:r>
        <w:rPr>
          <w:rFonts w:asciiTheme="majorHAnsi" w:hAnsiTheme="majorHAnsi" w:cs="Verdana"/>
          <w:color w:val="171717"/>
        </w:rPr>
        <w:t xml:space="preserve">As this manual highlights, restrictions to freedom of expression on the ground of national security must fulfill a number of criteria to meet international standards and best practices, and be legitimate.   </w:t>
      </w:r>
    </w:p>
    <w:p w14:paraId="2297D18C" w14:textId="77777777" w:rsidR="00490F17" w:rsidRPr="004D0EA5" w:rsidRDefault="00490F17">
      <w:pPr>
        <w:rPr>
          <w:rFonts w:asciiTheme="majorHAnsi" w:hAnsiTheme="majorHAnsi"/>
        </w:rPr>
      </w:pPr>
    </w:p>
    <w:p w14:paraId="354EAA66" w14:textId="77777777" w:rsidR="00205AC7" w:rsidRPr="00CF478C" w:rsidRDefault="0044104C" w:rsidP="007B0992">
      <w:pPr>
        <w:spacing w:line="276" w:lineRule="auto"/>
        <w:jc w:val="both"/>
        <w:rPr>
          <w:rFonts w:asciiTheme="majorHAnsi" w:hAnsiTheme="majorHAnsi"/>
          <w:b/>
          <w:sz w:val="28"/>
          <w:szCs w:val="28"/>
        </w:rPr>
      </w:pPr>
      <w:r>
        <w:rPr>
          <w:rFonts w:asciiTheme="majorHAnsi" w:hAnsiTheme="majorHAnsi"/>
          <w:b/>
          <w:sz w:val="28"/>
          <w:szCs w:val="28"/>
        </w:rPr>
        <w:t xml:space="preserve">I - </w:t>
      </w:r>
      <w:r w:rsidR="00205AC7" w:rsidRPr="00CF478C">
        <w:rPr>
          <w:rFonts w:asciiTheme="majorHAnsi" w:hAnsiTheme="majorHAnsi"/>
          <w:b/>
          <w:sz w:val="28"/>
          <w:szCs w:val="28"/>
        </w:rPr>
        <w:t>International Standards and Interpretation</w:t>
      </w:r>
    </w:p>
    <w:p w14:paraId="25EBC9EC" w14:textId="77777777" w:rsidR="006070AF" w:rsidRDefault="006070AF" w:rsidP="006070AF">
      <w:pPr>
        <w:widowControl w:val="0"/>
        <w:autoSpaceDE w:val="0"/>
        <w:autoSpaceDN w:val="0"/>
        <w:adjustRightInd w:val="0"/>
        <w:jc w:val="both"/>
        <w:rPr>
          <w:rFonts w:asciiTheme="majorHAnsi" w:hAnsiTheme="majorHAnsi" w:cs="Times"/>
        </w:rPr>
      </w:pPr>
    </w:p>
    <w:p w14:paraId="2D1FC1B4" w14:textId="77777777" w:rsidR="009C57C2" w:rsidRDefault="00B17125" w:rsidP="006070AF">
      <w:pPr>
        <w:widowControl w:val="0"/>
        <w:autoSpaceDE w:val="0"/>
        <w:autoSpaceDN w:val="0"/>
        <w:adjustRightInd w:val="0"/>
        <w:jc w:val="both"/>
        <w:rPr>
          <w:rFonts w:asciiTheme="majorHAnsi" w:hAnsiTheme="majorHAnsi" w:cs="Times"/>
        </w:rPr>
      </w:pPr>
      <w:r>
        <w:rPr>
          <w:rFonts w:asciiTheme="majorHAnsi" w:hAnsiTheme="majorHAnsi" w:cs="Times"/>
        </w:rPr>
        <w:t>The right to freedom of expression is not absolute</w:t>
      </w:r>
      <w:r w:rsidR="009C57C2">
        <w:rPr>
          <w:rFonts w:asciiTheme="majorHAnsi" w:hAnsiTheme="majorHAnsi" w:cs="Times"/>
        </w:rPr>
        <w:t xml:space="preserve">. It may be restricted in the context of a State of Emergency under conditions defined by Article 4 of the ICCPR and the </w:t>
      </w:r>
      <w:proofErr w:type="spellStart"/>
      <w:r w:rsidR="009C57C2">
        <w:rPr>
          <w:rFonts w:asciiTheme="majorHAnsi" w:hAnsiTheme="majorHAnsi" w:cs="Times"/>
        </w:rPr>
        <w:t>Siracusa</w:t>
      </w:r>
      <w:proofErr w:type="spellEnd"/>
      <w:r w:rsidR="009C57C2">
        <w:rPr>
          <w:rFonts w:asciiTheme="majorHAnsi" w:hAnsiTheme="majorHAnsi" w:cs="Times"/>
        </w:rPr>
        <w:t xml:space="preserve"> Principles.  </w:t>
      </w:r>
    </w:p>
    <w:p w14:paraId="3FB55FD5" w14:textId="77777777" w:rsidR="009C57C2" w:rsidRDefault="009C57C2" w:rsidP="006070AF">
      <w:pPr>
        <w:widowControl w:val="0"/>
        <w:autoSpaceDE w:val="0"/>
        <w:autoSpaceDN w:val="0"/>
        <w:adjustRightInd w:val="0"/>
        <w:jc w:val="both"/>
        <w:rPr>
          <w:rFonts w:asciiTheme="majorHAnsi" w:hAnsiTheme="majorHAnsi" w:cs="Times"/>
        </w:rPr>
      </w:pPr>
    </w:p>
    <w:p w14:paraId="674EFE18" w14:textId="3656EC56" w:rsidR="00B17125" w:rsidRDefault="009C57C2" w:rsidP="006070AF">
      <w:pPr>
        <w:widowControl w:val="0"/>
        <w:autoSpaceDE w:val="0"/>
        <w:autoSpaceDN w:val="0"/>
        <w:adjustRightInd w:val="0"/>
        <w:jc w:val="both"/>
        <w:rPr>
          <w:rFonts w:asciiTheme="majorHAnsi" w:hAnsiTheme="majorHAnsi" w:cs="Times"/>
        </w:rPr>
      </w:pPr>
      <w:r>
        <w:rPr>
          <w:rFonts w:asciiTheme="majorHAnsi" w:hAnsiTheme="majorHAnsi" w:cs="Times"/>
        </w:rPr>
        <w:t xml:space="preserve">Outside such extraordinary situations, the right to freedom of expression </w:t>
      </w:r>
      <w:r w:rsidR="00B17125">
        <w:rPr>
          <w:rFonts w:asciiTheme="majorHAnsi" w:hAnsiTheme="majorHAnsi" w:cs="Times"/>
        </w:rPr>
        <w:t xml:space="preserve">may be restricted under narrow conditions highlighted in article 19 and article 20 of the ICCPR. </w:t>
      </w:r>
    </w:p>
    <w:p w14:paraId="157291C5" w14:textId="77777777" w:rsidR="00B17125" w:rsidRDefault="00B17125" w:rsidP="006070AF">
      <w:pPr>
        <w:widowControl w:val="0"/>
        <w:autoSpaceDE w:val="0"/>
        <w:autoSpaceDN w:val="0"/>
        <w:adjustRightInd w:val="0"/>
        <w:jc w:val="both"/>
        <w:rPr>
          <w:rFonts w:asciiTheme="majorHAnsi" w:hAnsiTheme="majorHAnsi" w:cs="Times"/>
          <w:b/>
        </w:rPr>
      </w:pPr>
    </w:p>
    <w:p w14:paraId="61AE256B" w14:textId="4C33B4A5" w:rsidR="006070AF" w:rsidRPr="00F93E8F" w:rsidRDefault="00842C0D" w:rsidP="006070AF">
      <w:pPr>
        <w:widowControl w:val="0"/>
        <w:autoSpaceDE w:val="0"/>
        <w:autoSpaceDN w:val="0"/>
        <w:adjustRightInd w:val="0"/>
        <w:jc w:val="both"/>
        <w:rPr>
          <w:rFonts w:asciiTheme="majorHAnsi" w:hAnsiTheme="majorHAnsi" w:cs="Times"/>
          <w:b/>
          <w:u w:val="single"/>
        </w:rPr>
      </w:pPr>
      <w:r>
        <w:rPr>
          <w:rFonts w:asciiTheme="majorHAnsi" w:hAnsiTheme="majorHAnsi" w:cs="Times"/>
          <w:b/>
          <w:u w:val="single"/>
        </w:rPr>
        <w:t xml:space="preserve">I.1. </w:t>
      </w:r>
      <w:r w:rsidR="00D60546">
        <w:rPr>
          <w:rFonts w:asciiTheme="majorHAnsi" w:hAnsiTheme="majorHAnsi" w:cs="Times"/>
          <w:b/>
          <w:u w:val="single"/>
        </w:rPr>
        <w:t>State of Emergency and Limitations to Freedom of Expression (</w:t>
      </w:r>
      <w:r w:rsidR="006070AF" w:rsidRPr="00F93E8F">
        <w:rPr>
          <w:rFonts w:asciiTheme="majorHAnsi" w:hAnsiTheme="majorHAnsi" w:cs="Times"/>
          <w:b/>
          <w:u w:val="single"/>
        </w:rPr>
        <w:t>ICCPR</w:t>
      </w:r>
      <w:r w:rsidR="00B17125" w:rsidRPr="00F93E8F">
        <w:rPr>
          <w:rFonts w:asciiTheme="majorHAnsi" w:hAnsiTheme="majorHAnsi" w:cs="Times"/>
          <w:b/>
          <w:u w:val="single"/>
        </w:rPr>
        <w:t xml:space="preserve"> – Article 4</w:t>
      </w:r>
      <w:r w:rsidR="00D60546">
        <w:rPr>
          <w:rFonts w:asciiTheme="majorHAnsi" w:hAnsiTheme="majorHAnsi" w:cs="Times"/>
          <w:b/>
          <w:u w:val="single"/>
        </w:rPr>
        <w:t>)</w:t>
      </w:r>
      <w:r w:rsidR="00DD71E1">
        <w:rPr>
          <w:rStyle w:val="FootnoteReference"/>
          <w:rFonts w:asciiTheme="majorHAnsi" w:hAnsiTheme="majorHAnsi" w:cs="Times"/>
          <w:b/>
          <w:u w:val="single"/>
        </w:rPr>
        <w:footnoteReference w:id="6"/>
      </w:r>
    </w:p>
    <w:p w14:paraId="70DE6D09" w14:textId="77777777" w:rsidR="006070AF" w:rsidRDefault="006070AF" w:rsidP="006070AF">
      <w:pPr>
        <w:widowControl w:val="0"/>
        <w:autoSpaceDE w:val="0"/>
        <w:autoSpaceDN w:val="0"/>
        <w:adjustRightInd w:val="0"/>
        <w:jc w:val="both"/>
        <w:rPr>
          <w:rFonts w:asciiTheme="majorHAnsi" w:hAnsiTheme="majorHAnsi" w:cs="Times"/>
        </w:rPr>
      </w:pPr>
    </w:p>
    <w:p w14:paraId="6DFDEF1C" w14:textId="4244B351" w:rsidR="00CA2083" w:rsidRPr="006B0DC6" w:rsidRDefault="00CA2083" w:rsidP="00CA2083">
      <w:pPr>
        <w:widowControl w:val="0"/>
        <w:autoSpaceDE w:val="0"/>
        <w:autoSpaceDN w:val="0"/>
        <w:adjustRightInd w:val="0"/>
        <w:jc w:val="both"/>
        <w:rPr>
          <w:rFonts w:asciiTheme="majorHAnsi" w:hAnsiTheme="majorHAnsi" w:cs="Verdana"/>
          <w:color w:val="171717"/>
        </w:rPr>
      </w:pPr>
      <w:r>
        <w:rPr>
          <w:rFonts w:asciiTheme="majorHAnsi" w:hAnsiTheme="majorHAnsi" w:cs="Arial"/>
        </w:rPr>
        <w:t xml:space="preserve">International human rights law recognizes that </w:t>
      </w:r>
      <w:r w:rsidRPr="006B0DC6">
        <w:rPr>
          <w:rFonts w:asciiTheme="majorHAnsi" w:hAnsiTheme="majorHAnsi" w:cs="Arial"/>
        </w:rPr>
        <w:t xml:space="preserve">sometimes it is necessary to limit individual rights to protect national security or respond to situations of public emergency.  However, </w:t>
      </w:r>
      <w:r>
        <w:rPr>
          <w:rFonts w:asciiTheme="majorHAnsi" w:hAnsiTheme="majorHAnsi" w:cs="Arial"/>
        </w:rPr>
        <w:t>such an emergency can</w:t>
      </w:r>
      <w:r w:rsidRPr="006B0DC6">
        <w:rPr>
          <w:rFonts w:asciiTheme="majorHAnsi" w:hAnsiTheme="majorHAnsi" w:cs="Arial"/>
        </w:rPr>
        <w:t>not be used to</w:t>
      </w:r>
      <w:r>
        <w:rPr>
          <w:rFonts w:asciiTheme="majorHAnsi" w:hAnsiTheme="majorHAnsi" w:cs="Arial"/>
        </w:rPr>
        <w:t xml:space="preserve"> suspend some rights</w:t>
      </w:r>
      <w:r w:rsidR="002321CE">
        <w:rPr>
          <w:rFonts w:asciiTheme="majorHAnsi" w:hAnsiTheme="majorHAnsi" w:cs="Arial"/>
        </w:rPr>
        <w:t>,</w:t>
      </w:r>
      <w:r>
        <w:rPr>
          <w:rFonts w:asciiTheme="majorHAnsi" w:hAnsiTheme="majorHAnsi" w:cs="Arial"/>
        </w:rPr>
        <w:t xml:space="preserve"> which </w:t>
      </w:r>
      <w:r w:rsidR="002321CE">
        <w:rPr>
          <w:rFonts w:asciiTheme="majorHAnsi" w:hAnsiTheme="majorHAnsi" w:cs="Arial"/>
        </w:rPr>
        <w:t>can</w:t>
      </w:r>
      <w:r w:rsidR="002321CE" w:rsidRPr="006B0DC6">
        <w:rPr>
          <w:rFonts w:asciiTheme="majorHAnsi" w:hAnsiTheme="majorHAnsi" w:cs="Arial"/>
        </w:rPr>
        <w:t>not be suspended in any circumstances. </w:t>
      </w:r>
      <w:r>
        <w:rPr>
          <w:rFonts w:asciiTheme="majorHAnsi" w:hAnsiTheme="majorHAnsi" w:cs="Arial"/>
        </w:rPr>
        <w:t xml:space="preserve"> They include </w:t>
      </w:r>
      <w:r w:rsidRPr="006B0DC6">
        <w:rPr>
          <w:rFonts w:asciiTheme="majorHAnsi" w:hAnsiTheme="majorHAnsi" w:cs="Arial"/>
        </w:rPr>
        <w:t>the freedom of thought, the right to life and the right to be free from torture or cruel inh</w:t>
      </w:r>
      <w:r w:rsidR="002321CE">
        <w:rPr>
          <w:rFonts w:asciiTheme="majorHAnsi" w:hAnsiTheme="majorHAnsi" w:cs="Arial"/>
        </w:rPr>
        <w:t>uman and degrading treatment.</w:t>
      </w:r>
    </w:p>
    <w:p w14:paraId="41CAFDE2" w14:textId="77777777" w:rsidR="00CA2083" w:rsidRPr="00A2123C" w:rsidRDefault="00CA2083" w:rsidP="00CA2083">
      <w:pPr>
        <w:widowControl w:val="0"/>
        <w:autoSpaceDE w:val="0"/>
        <w:autoSpaceDN w:val="0"/>
        <w:adjustRightInd w:val="0"/>
        <w:jc w:val="both"/>
        <w:rPr>
          <w:rFonts w:asciiTheme="majorHAnsi" w:hAnsiTheme="majorHAnsi" w:cs="Verdana"/>
          <w:color w:val="171717"/>
        </w:rPr>
      </w:pPr>
    </w:p>
    <w:p w14:paraId="2009D314" w14:textId="3D222B20" w:rsidR="006070AF" w:rsidRDefault="006070AF" w:rsidP="006070AF">
      <w:pPr>
        <w:widowControl w:val="0"/>
        <w:autoSpaceDE w:val="0"/>
        <w:autoSpaceDN w:val="0"/>
        <w:adjustRightInd w:val="0"/>
        <w:jc w:val="both"/>
        <w:rPr>
          <w:rFonts w:asciiTheme="majorHAnsi" w:hAnsiTheme="majorHAnsi" w:cs="Times"/>
          <w:position w:val="13"/>
        </w:rPr>
      </w:pPr>
      <w:r w:rsidRPr="006070AF">
        <w:rPr>
          <w:rFonts w:asciiTheme="majorHAnsi" w:hAnsiTheme="majorHAnsi" w:cs="Times"/>
        </w:rPr>
        <w:t>Under Article 4 of the ICCPR, in a “state of public emergency which threatens the life of the nation”, a state “may take measures derogating from their obligations under the Covenant to the extent strictly required by the exigencies of the situation”.</w:t>
      </w:r>
      <w:r w:rsidR="00D60546">
        <w:rPr>
          <w:rFonts w:asciiTheme="majorHAnsi" w:hAnsiTheme="majorHAnsi" w:cs="Times"/>
        </w:rPr>
        <w:t xml:space="preserve">  Freedom of Expression may be one of the freedoms</w:t>
      </w:r>
      <w:r w:rsidR="009C57C2">
        <w:rPr>
          <w:rFonts w:asciiTheme="majorHAnsi" w:hAnsiTheme="majorHAnsi" w:cs="Times"/>
        </w:rPr>
        <w:t>,</w:t>
      </w:r>
      <w:r w:rsidR="00D60546">
        <w:rPr>
          <w:rFonts w:asciiTheme="majorHAnsi" w:hAnsiTheme="majorHAnsi" w:cs="Times"/>
        </w:rPr>
        <w:t xml:space="preserve"> which may be affected in that way. </w:t>
      </w:r>
      <w:r w:rsidRPr="006070AF">
        <w:rPr>
          <w:rFonts w:asciiTheme="majorHAnsi" w:hAnsiTheme="majorHAnsi" w:cs="Times"/>
          <w:position w:val="13"/>
        </w:rPr>
        <w:t xml:space="preserve"> </w:t>
      </w:r>
    </w:p>
    <w:p w14:paraId="33F373D1" w14:textId="77777777" w:rsidR="006070AF" w:rsidRDefault="006070AF" w:rsidP="006070AF">
      <w:pPr>
        <w:widowControl w:val="0"/>
        <w:autoSpaceDE w:val="0"/>
        <w:autoSpaceDN w:val="0"/>
        <w:adjustRightInd w:val="0"/>
        <w:jc w:val="both"/>
        <w:rPr>
          <w:rFonts w:asciiTheme="majorHAnsi" w:hAnsiTheme="majorHAnsi" w:cs="Times"/>
          <w:position w:val="13"/>
        </w:rPr>
      </w:pPr>
    </w:p>
    <w:p w14:paraId="1DAEF2B1" w14:textId="321A9FD8" w:rsidR="006070AF" w:rsidRDefault="006070AF" w:rsidP="006070AF">
      <w:pPr>
        <w:widowControl w:val="0"/>
        <w:autoSpaceDE w:val="0"/>
        <w:autoSpaceDN w:val="0"/>
        <w:adjustRightInd w:val="0"/>
        <w:jc w:val="both"/>
        <w:rPr>
          <w:rFonts w:asciiTheme="majorHAnsi" w:hAnsiTheme="majorHAnsi" w:cs="Times"/>
        </w:rPr>
      </w:pPr>
      <w:r w:rsidRPr="006070AF">
        <w:rPr>
          <w:rFonts w:asciiTheme="majorHAnsi" w:hAnsiTheme="majorHAnsi" w:cs="Times"/>
        </w:rPr>
        <w:t xml:space="preserve">To invoke Article 4, two fundamental conditions must be met: </w:t>
      </w:r>
    </w:p>
    <w:p w14:paraId="5BA13B01" w14:textId="71C9EFD4" w:rsidR="006070AF" w:rsidRPr="006B0DC6" w:rsidRDefault="001C7A13" w:rsidP="00CA2083">
      <w:pPr>
        <w:widowControl w:val="0"/>
        <w:autoSpaceDE w:val="0"/>
        <w:autoSpaceDN w:val="0"/>
        <w:adjustRightInd w:val="0"/>
        <w:ind w:left="720"/>
        <w:jc w:val="both"/>
        <w:rPr>
          <w:rFonts w:asciiTheme="majorHAnsi" w:hAnsiTheme="majorHAnsi" w:cs="Times"/>
        </w:rPr>
      </w:pPr>
      <w:r>
        <w:rPr>
          <w:rFonts w:asciiTheme="majorHAnsi" w:hAnsiTheme="majorHAnsi" w:cs="Times"/>
        </w:rPr>
        <w:t>1. T</w:t>
      </w:r>
      <w:r w:rsidR="006070AF" w:rsidRPr="001C7A13">
        <w:rPr>
          <w:rFonts w:asciiTheme="majorHAnsi" w:hAnsiTheme="majorHAnsi" w:cs="Times"/>
        </w:rPr>
        <w:t xml:space="preserve">he situation must </w:t>
      </w:r>
      <w:r w:rsidR="006070AF" w:rsidRPr="001C7A13">
        <w:rPr>
          <w:rFonts w:asciiTheme="majorHAnsi" w:hAnsiTheme="majorHAnsi" w:cs="Times"/>
          <w:i/>
          <w:iCs/>
        </w:rPr>
        <w:t xml:space="preserve">genuinely amount to a public emergency which threatens the </w:t>
      </w:r>
      <w:r w:rsidR="006070AF" w:rsidRPr="006B0DC6">
        <w:rPr>
          <w:rFonts w:asciiTheme="majorHAnsi" w:hAnsiTheme="majorHAnsi" w:cs="Times"/>
          <w:i/>
          <w:iCs/>
        </w:rPr>
        <w:t>life of the nation</w:t>
      </w:r>
      <w:r w:rsidR="006070AF" w:rsidRPr="006B0DC6">
        <w:rPr>
          <w:rFonts w:asciiTheme="majorHAnsi" w:hAnsiTheme="majorHAnsi" w:cs="Times"/>
        </w:rPr>
        <w:t xml:space="preserve">, and </w:t>
      </w:r>
    </w:p>
    <w:p w14:paraId="536172DF" w14:textId="74842820" w:rsidR="006070AF" w:rsidRPr="001C7A13" w:rsidRDefault="001C7A13" w:rsidP="00CA2083">
      <w:pPr>
        <w:widowControl w:val="0"/>
        <w:autoSpaceDE w:val="0"/>
        <w:autoSpaceDN w:val="0"/>
        <w:adjustRightInd w:val="0"/>
        <w:ind w:left="720"/>
        <w:jc w:val="both"/>
        <w:rPr>
          <w:rFonts w:asciiTheme="majorHAnsi" w:hAnsiTheme="majorHAnsi" w:cs="Times"/>
          <w:position w:val="13"/>
        </w:rPr>
      </w:pPr>
      <w:r>
        <w:rPr>
          <w:rFonts w:asciiTheme="majorHAnsi" w:hAnsiTheme="majorHAnsi" w:cs="Times"/>
        </w:rPr>
        <w:t>2. T</w:t>
      </w:r>
      <w:r w:rsidR="006070AF" w:rsidRPr="001C7A13">
        <w:rPr>
          <w:rFonts w:asciiTheme="majorHAnsi" w:hAnsiTheme="majorHAnsi" w:cs="Times"/>
        </w:rPr>
        <w:t xml:space="preserve">he State party must have </w:t>
      </w:r>
      <w:r w:rsidR="006070AF" w:rsidRPr="001C7A13">
        <w:rPr>
          <w:rFonts w:asciiTheme="majorHAnsi" w:hAnsiTheme="majorHAnsi" w:cs="Times"/>
          <w:i/>
          <w:iCs/>
        </w:rPr>
        <w:t>officially proclaimed a state of emergency</w:t>
      </w:r>
      <w:r w:rsidR="006070AF" w:rsidRPr="001C7A13">
        <w:rPr>
          <w:rFonts w:asciiTheme="majorHAnsi" w:hAnsiTheme="majorHAnsi" w:cs="Times"/>
        </w:rPr>
        <w:t>.</w:t>
      </w:r>
      <w:r w:rsidR="006070AF" w:rsidRPr="001C7A13">
        <w:rPr>
          <w:rFonts w:asciiTheme="majorHAnsi" w:hAnsiTheme="majorHAnsi" w:cs="Times"/>
          <w:position w:val="13"/>
        </w:rPr>
        <w:t xml:space="preserve"> </w:t>
      </w:r>
    </w:p>
    <w:p w14:paraId="78CBEC73" w14:textId="77777777" w:rsidR="001C7A13" w:rsidRDefault="001C7A13" w:rsidP="001C7A13">
      <w:pPr>
        <w:widowControl w:val="0"/>
        <w:autoSpaceDE w:val="0"/>
        <w:autoSpaceDN w:val="0"/>
        <w:adjustRightInd w:val="0"/>
        <w:jc w:val="both"/>
        <w:rPr>
          <w:rFonts w:asciiTheme="majorHAnsi" w:hAnsiTheme="majorHAnsi" w:cs="Times"/>
          <w:position w:val="13"/>
        </w:rPr>
      </w:pPr>
    </w:p>
    <w:p w14:paraId="53B48558" w14:textId="77777777" w:rsidR="006070AF" w:rsidRDefault="006070AF" w:rsidP="001C7A13">
      <w:pPr>
        <w:widowControl w:val="0"/>
        <w:autoSpaceDE w:val="0"/>
        <w:autoSpaceDN w:val="0"/>
        <w:adjustRightInd w:val="0"/>
        <w:jc w:val="both"/>
        <w:rPr>
          <w:rFonts w:asciiTheme="majorHAnsi" w:hAnsiTheme="majorHAnsi" w:cs="Times"/>
          <w:position w:val="13"/>
        </w:rPr>
      </w:pPr>
      <w:r>
        <w:rPr>
          <w:rFonts w:asciiTheme="majorHAnsi" w:hAnsiTheme="majorHAnsi" w:cs="Times"/>
        </w:rPr>
        <w:t>S</w:t>
      </w:r>
      <w:r w:rsidRPr="006070AF">
        <w:rPr>
          <w:rFonts w:asciiTheme="majorHAnsi" w:hAnsiTheme="majorHAnsi" w:cs="Times"/>
        </w:rPr>
        <w:t>tates must also provide “careful justification for not only their decision to proclaim a state of emergency, but also for any specific measures based on such a proclamation”.</w:t>
      </w:r>
      <w:r w:rsidRPr="006070AF">
        <w:rPr>
          <w:rFonts w:asciiTheme="majorHAnsi" w:hAnsiTheme="majorHAnsi" w:cs="Times"/>
          <w:position w:val="13"/>
        </w:rPr>
        <w:t xml:space="preserve"> </w:t>
      </w:r>
    </w:p>
    <w:p w14:paraId="643EC2A4" w14:textId="77777777" w:rsidR="0038014C" w:rsidRDefault="0038014C" w:rsidP="001C7A13">
      <w:pPr>
        <w:widowControl w:val="0"/>
        <w:autoSpaceDE w:val="0"/>
        <w:autoSpaceDN w:val="0"/>
        <w:adjustRightInd w:val="0"/>
        <w:jc w:val="both"/>
        <w:rPr>
          <w:rFonts w:asciiTheme="majorHAnsi" w:hAnsiTheme="majorHAnsi" w:cs="Times"/>
          <w:position w:val="13"/>
        </w:rPr>
      </w:pPr>
    </w:p>
    <w:p w14:paraId="6885437C" w14:textId="1367BF71" w:rsidR="006B0DC6" w:rsidRDefault="006070AF" w:rsidP="001C7A13">
      <w:pPr>
        <w:widowControl w:val="0"/>
        <w:autoSpaceDE w:val="0"/>
        <w:autoSpaceDN w:val="0"/>
        <w:adjustRightInd w:val="0"/>
        <w:jc w:val="both"/>
        <w:rPr>
          <w:rFonts w:asciiTheme="majorHAnsi" w:hAnsiTheme="majorHAnsi" w:cs="Times"/>
        </w:rPr>
      </w:pPr>
      <w:r w:rsidRPr="006070AF">
        <w:rPr>
          <w:rFonts w:asciiTheme="majorHAnsi" w:hAnsiTheme="majorHAnsi" w:cs="Times"/>
        </w:rPr>
        <w:t xml:space="preserve">Any </w:t>
      </w:r>
      <w:r w:rsidR="00DD71E1">
        <w:rPr>
          <w:rFonts w:asciiTheme="majorHAnsi" w:hAnsiTheme="majorHAnsi" w:cs="Times"/>
        </w:rPr>
        <w:t>derogation</w:t>
      </w:r>
      <w:r w:rsidR="00D60546">
        <w:rPr>
          <w:rFonts w:asciiTheme="majorHAnsi" w:hAnsiTheme="majorHAnsi" w:cs="Times"/>
        </w:rPr>
        <w:t xml:space="preserve"> to the right to </w:t>
      </w:r>
      <w:r w:rsidRPr="006070AF">
        <w:rPr>
          <w:rFonts w:asciiTheme="majorHAnsi" w:hAnsiTheme="majorHAnsi" w:cs="Times"/>
        </w:rPr>
        <w:t xml:space="preserve">freedom of expression </w:t>
      </w:r>
      <w:proofErr w:type="gramStart"/>
      <w:r w:rsidRPr="006070AF">
        <w:rPr>
          <w:rFonts w:asciiTheme="majorHAnsi" w:hAnsiTheme="majorHAnsi" w:cs="Times"/>
        </w:rPr>
        <w:t>are</w:t>
      </w:r>
      <w:proofErr w:type="gramEnd"/>
      <w:r w:rsidRPr="006070AF">
        <w:rPr>
          <w:rFonts w:asciiTheme="majorHAnsi" w:hAnsiTheme="majorHAnsi" w:cs="Times"/>
        </w:rPr>
        <w:t xml:space="preserve"> unlawful unless they are in accordance with these rules and interpretive principles. </w:t>
      </w:r>
    </w:p>
    <w:p w14:paraId="0E281FE8" w14:textId="77777777" w:rsidR="00DD71E1" w:rsidRDefault="00DD71E1" w:rsidP="001C7A13">
      <w:pPr>
        <w:widowControl w:val="0"/>
        <w:autoSpaceDE w:val="0"/>
        <w:autoSpaceDN w:val="0"/>
        <w:adjustRightInd w:val="0"/>
        <w:jc w:val="both"/>
        <w:rPr>
          <w:rFonts w:asciiTheme="majorHAnsi" w:hAnsiTheme="majorHAnsi" w:cs="Times"/>
        </w:rPr>
      </w:pPr>
    </w:p>
    <w:p w14:paraId="6B029299" w14:textId="77777777" w:rsidR="006B0DC6" w:rsidRDefault="006B0DC6" w:rsidP="001C7A13">
      <w:pPr>
        <w:widowControl w:val="0"/>
        <w:autoSpaceDE w:val="0"/>
        <w:autoSpaceDN w:val="0"/>
        <w:adjustRightInd w:val="0"/>
        <w:jc w:val="both"/>
        <w:rPr>
          <w:rFonts w:asciiTheme="majorHAnsi" w:hAnsiTheme="majorHAnsi" w:cs="Times"/>
        </w:rPr>
      </w:pPr>
    </w:p>
    <w:p w14:paraId="609F8ABE" w14:textId="77777777" w:rsidR="005917AC" w:rsidRDefault="005917AC" w:rsidP="001C7A13">
      <w:pPr>
        <w:widowControl w:val="0"/>
        <w:autoSpaceDE w:val="0"/>
        <w:autoSpaceDN w:val="0"/>
        <w:adjustRightInd w:val="0"/>
        <w:jc w:val="both"/>
        <w:rPr>
          <w:rFonts w:asciiTheme="majorHAnsi" w:hAnsiTheme="majorHAnsi" w:cs="Times"/>
        </w:rPr>
      </w:pPr>
    </w:p>
    <w:p w14:paraId="639A8EC9" w14:textId="77777777" w:rsidR="005917AC" w:rsidRDefault="005917AC" w:rsidP="001C7A13">
      <w:pPr>
        <w:widowControl w:val="0"/>
        <w:autoSpaceDE w:val="0"/>
        <w:autoSpaceDN w:val="0"/>
        <w:adjustRightInd w:val="0"/>
        <w:jc w:val="both"/>
        <w:rPr>
          <w:rFonts w:asciiTheme="majorHAnsi" w:hAnsiTheme="majorHAnsi" w:cs="Times"/>
        </w:rPr>
      </w:pPr>
    </w:p>
    <w:p w14:paraId="3B64A736" w14:textId="77777777" w:rsidR="005917AC" w:rsidRDefault="005917AC" w:rsidP="001C7A13">
      <w:pPr>
        <w:widowControl w:val="0"/>
        <w:autoSpaceDE w:val="0"/>
        <w:autoSpaceDN w:val="0"/>
        <w:adjustRightInd w:val="0"/>
        <w:jc w:val="both"/>
        <w:rPr>
          <w:rFonts w:asciiTheme="majorHAnsi" w:hAnsiTheme="majorHAnsi" w:cs="Times"/>
        </w:rPr>
      </w:pPr>
    </w:p>
    <w:p w14:paraId="1F6F9591" w14:textId="77777777" w:rsidR="005917AC" w:rsidRDefault="005917AC" w:rsidP="001C7A13">
      <w:pPr>
        <w:widowControl w:val="0"/>
        <w:autoSpaceDE w:val="0"/>
        <w:autoSpaceDN w:val="0"/>
        <w:adjustRightInd w:val="0"/>
        <w:jc w:val="both"/>
        <w:rPr>
          <w:rFonts w:asciiTheme="majorHAnsi" w:hAnsiTheme="majorHAnsi" w:cs="Times"/>
        </w:rPr>
      </w:pPr>
    </w:p>
    <w:p w14:paraId="16C99214" w14:textId="77777777" w:rsidR="005917AC" w:rsidRDefault="005917AC" w:rsidP="001C7A13">
      <w:pPr>
        <w:widowControl w:val="0"/>
        <w:autoSpaceDE w:val="0"/>
        <w:autoSpaceDN w:val="0"/>
        <w:adjustRightInd w:val="0"/>
        <w:jc w:val="both"/>
        <w:rPr>
          <w:rFonts w:asciiTheme="majorHAnsi" w:hAnsiTheme="majorHAnsi" w:cs="Times"/>
        </w:rPr>
      </w:pPr>
    </w:p>
    <w:tbl>
      <w:tblPr>
        <w:tblStyle w:val="TableGrid"/>
        <w:tblW w:w="0" w:type="auto"/>
        <w:tblLook w:val="04A0" w:firstRow="1" w:lastRow="0" w:firstColumn="1" w:lastColumn="0" w:noHBand="0" w:noVBand="1"/>
      </w:tblPr>
      <w:tblGrid>
        <w:gridCol w:w="8856"/>
      </w:tblGrid>
      <w:tr w:rsidR="006B0DC6" w14:paraId="6765F17F" w14:textId="77777777" w:rsidTr="006D6209">
        <w:tc>
          <w:tcPr>
            <w:tcW w:w="8856" w:type="dxa"/>
            <w:shd w:val="clear" w:color="auto" w:fill="BFBFBF" w:themeFill="background1" w:themeFillShade="BF"/>
          </w:tcPr>
          <w:p w14:paraId="4CEE8BAC" w14:textId="3AB375ED" w:rsidR="006B0DC6" w:rsidRPr="006B0DC6" w:rsidRDefault="006B0DC6" w:rsidP="006B0DC6">
            <w:pPr>
              <w:widowControl w:val="0"/>
              <w:autoSpaceDE w:val="0"/>
              <w:autoSpaceDN w:val="0"/>
              <w:adjustRightInd w:val="0"/>
              <w:jc w:val="center"/>
              <w:rPr>
                <w:rFonts w:asciiTheme="majorHAnsi" w:hAnsiTheme="majorHAnsi" w:cs="Times"/>
                <w:b/>
              </w:rPr>
            </w:pPr>
            <w:r w:rsidRPr="006B0DC6">
              <w:rPr>
                <w:rFonts w:asciiTheme="majorHAnsi" w:hAnsiTheme="majorHAnsi" w:cs="Times"/>
                <w:b/>
              </w:rPr>
              <w:t>Public Emergencies and Fair trial</w:t>
            </w:r>
            <w:r w:rsidR="00CA2083">
              <w:rPr>
                <w:rStyle w:val="FootnoteReference"/>
                <w:rFonts w:asciiTheme="majorHAnsi" w:hAnsiTheme="majorHAnsi" w:cs="Times"/>
                <w:b/>
              </w:rPr>
              <w:footnoteReference w:id="7"/>
            </w:r>
          </w:p>
          <w:p w14:paraId="209F7FB4" w14:textId="77777777" w:rsidR="006B0DC6" w:rsidRDefault="006B0DC6" w:rsidP="001C7A13">
            <w:pPr>
              <w:widowControl w:val="0"/>
              <w:autoSpaceDE w:val="0"/>
              <w:autoSpaceDN w:val="0"/>
              <w:adjustRightInd w:val="0"/>
              <w:jc w:val="both"/>
              <w:rPr>
                <w:rFonts w:ascii="Arial" w:hAnsi="Arial" w:cs="Arial"/>
                <w:sz w:val="28"/>
                <w:szCs w:val="28"/>
              </w:rPr>
            </w:pPr>
          </w:p>
          <w:p w14:paraId="369103B9" w14:textId="3CF4C1FA" w:rsidR="006B0DC6" w:rsidRPr="006B0DC6" w:rsidRDefault="00CA2083" w:rsidP="001C7A13">
            <w:pPr>
              <w:widowControl w:val="0"/>
              <w:autoSpaceDE w:val="0"/>
              <w:autoSpaceDN w:val="0"/>
              <w:adjustRightInd w:val="0"/>
              <w:jc w:val="both"/>
              <w:rPr>
                <w:rFonts w:asciiTheme="majorHAnsi" w:hAnsiTheme="majorHAnsi" w:cs="Arial"/>
                <w:sz w:val="22"/>
                <w:szCs w:val="22"/>
                <w:u w:color="0000C0"/>
              </w:rPr>
            </w:pPr>
            <w:r>
              <w:rPr>
                <w:rFonts w:asciiTheme="majorHAnsi" w:hAnsiTheme="majorHAnsi" w:cs="Arial"/>
                <w:sz w:val="22"/>
                <w:szCs w:val="22"/>
              </w:rPr>
              <w:t>“</w:t>
            </w:r>
            <w:r w:rsidR="006B0DC6" w:rsidRPr="006B0DC6">
              <w:rPr>
                <w:rFonts w:asciiTheme="majorHAnsi" w:hAnsiTheme="majorHAnsi" w:cs="Arial"/>
                <w:sz w:val="22"/>
                <w:szCs w:val="22"/>
              </w:rPr>
              <w:t>While the right to a fair trial is not listed as a non-</w:t>
            </w:r>
            <w:proofErr w:type="spellStart"/>
            <w:r w:rsidR="006B0DC6" w:rsidRPr="006B0DC6">
              <w:rPr>
                <w:rFonts w:asciiTheme="majorHAnsi" w:hAnsiTheme="majorHAnsi" w:cs="Arial"/>
                <w:sz w:val="22"/>
                <w:szCs w:val="22"/>
              </w:rPr>
              <w:t>derogable</w:t>
            </w:r>
            <w:proofErr w:type="spellEnd"/>
            <w:r w:rsidR="006B0DC6" w:rsidRPr="006B0DC6">
              <w:rPr>
                <w:rFonts w:asciiTheme="majorHAnsi" w:hAnsiTheme="majorHAnsi" w:cs="Arial"/>
                <w:sz w:val="22"/>
                <w:szCs w:val="22"/>
              </w:rPr>
              <w:t xml:space="preserve"> provision in article 4(2) of the ICCPR,</w:t>
            </w:r>
            <w:r w:rsidR="006B0DC6" w:rsidRPr="006B0DC6">
              <w:rPr>
                <w:rFonts w:asciiTheme="majorHAnsi" w:hAnsiTheme="majorHAnsi" w:cs="Arial"/>
                <w:sz w:val="22"/>
                <w:szCs w:val="22"/>
                <w:u w:color="0000C0"/>
              </w:rPr>
              <w:t xml:space="preserve"> the United Nations Human Rights Committee has stated that the fundamental requirements of fair trial must not be abrogated in any circumstances</w:t>
            </w:r>
            <w:r w:rsidR="006B0DC6">
              <w:rPr>
                <w:rStyle w:val="FootnoteReference"/>
                <w:rFonts w:asciiTheme="majorHAnsi" w:hAnsiTheme="majorHAnsi" w:cs="Arial"/>
                <w:sz w:val="22"/>
                <w:szCs w:val="22"/>
                <w:u w:color="0000C0"/>
              </w:rPr>
              <w:footnoteReference w:id="8"/>
            </w:r>
            <w:r w:rsidR="006B0DC6" w:rsidRPr="006B0DC6">
              <w:rPr>
                <w:rFonts w:asciiTheme="majorHAnsi" w:hAnsiTheme="majorHAnsi" w:cs="Arial"/>
                <w:sz w:val="22"/>
                <w:szCs w:val="22"/>
                <w:u w:color="0000C0"/>
              </w:rPr>
              <w:t>.  </w:t>
            </w:r>
          </w:p>
          <w:p w14:paraId="21714E63" w14:textId="77777777" w:rsidR="006B0DC6" w:rsidRPr="006B0DC6" w:rsidRDefault="006B0DC6" w:rsidP="001C7A13">
            <w:pPr>
              <w:widowControl w:val="0"/>
              <w:autoSpaceDE w:val="0"/>
              <w:autoSpaceDN w:val="0"/>
              <w:adjustRightInd w:val="0"/>
              <w:jc w:val="both"/>
              <w:rPr>
                <w:rFonts w:asciiTheme="majorHAnsi" w:hAnsiTheme="majorHAnsi" w:cs="Arial"/>
                <w:sz w:val="22"/>
                <w:szCs w:val="22"/>
                <w:u w:color="0000C0"/>
              </w:rPr>
            </w:pPr>
          </w:p>
          <w:p w14:paraId="6ED6AD49" w14:textId="62E02862" w:rsidR="006B0DC6" w:rsidRPr="006B0DC6" w:rsidRDefault="006B0DC6" w:rsidP="001C7A13">
            <w:pPr>
              <w:widowControl w:val="0"/>
              <w:autoSpaceDE w:val="0"/>
              <w:autoSpaceDN w:val="0"/>
              <w:adjustRightInd w:val="0"/>
              <w:jc w:val="both"/>
              <w:rPr>
                <w:rFonts w:asciiTheme="majorHAnsi" w:hAnsiTheme="majorHAnsi" w:cs="Times"/>
                <w:sz w:val="22"/>
                <w:szCs w:val="22"/>
              </w:rPr>
            </w:pPr>
            <w:r w:rsidRPr="006B0DC6">
              <w:rPr>
                <w:rFonts w:asciiTheme="majorHAnsi" w:hAnsiTheme="majorHAnsi" w:cs="Arial"/>
                <w:sz w:val="22"/>
                <w:szCs w:val="22"/>
                <w:u w:color="0000C0"/>
              </w:rPr>
              <w:t xml:space="preserve">The importance of the right to a fair trial in the context of counter-terrorism proceedings was reinforced in </w:t>
            </w:r>
            <w:r w:rsidRPr="006B0DC6">
              <w:rPr>
                <w:rFonts w:asciiTheme="majorHAnsi" w:hAnsiTheme="majorHAnsi" w:cs="Arial"/>
                <w:i/>
                <w:iCs/>
                <w:sz w:val="22"/>
                <w:szCs w:val="22"/>
                <w:u w:color="0000C0"/>
              </w:rPr>
              <w:t xml:space="preserve">Hamden v Rumsfeld </w:t>
            </w:r>
            <w:r w:rsidRPr="006B0DC6">
              <w:rPr>
                <w:rFonts w:asciiTheme="majorHAnsi" w:hAnsiTheme="majorHAnsi" w:cs="Arial"/>
                <w:sz w:val="22"/>
                <w:szCs w:val="22"/>
                <w:u w:color="0000C0"/>
              </w:rPr>
              <w:t>where</w:t>
            </w:r>
            <w:r w:rsidR="00DD71E1">
              <w:rPr>
                <w:rFonts w:asciiTheme="majorHAnsi" w:hAnsiTheme="majorHAnsi" w:cs="Arial"/>
                <w:sz w:val="22"/>
                <w:szCs w:val="22"/>
                <w:u w:color="0000C0"/>
              </w:rPr>
              <w:t xml:space="preserve"> </w:t>
            </w:r>
            <w:r w:rsidRPr="006B0DC6">
              <w:rPr>
                <w:rFonts w:asciiTheme="majorHAnsi" w:hAnsiTheme="majorHAnsi" w:cs="Arial"/>
                <w:sz w:val="22"/>
                <w:szCs w:val="22"/>
                <w:u w:color="0000C0"/>
              </w:rPr>
              <w:t>the United States Supreme Court held that right of an accused to ‘be present for his trial and privy to the evidence against him, absent disruptive conduct or consent’ is ‘indisputably part of customary international law’</w:t>
            </w:r>
            <w:r w:rsidR="00CA2083">
              <w:rPr>
                <w:rStyle w:val="FootnoteReference"/>
                <w:rFonts w:asciiTheme="majorHAnsi" w:hAnsiTheme="majorHAnsi" w:cs="Arial"/>
                <w:sz w:val="22"/>
                <w:szCs w:val="22"/>
                <w:u w:color="0000C0"/>
              </w:rPr>
              <w:footnoteReference w:id="9"/>
            </w:r>
            <w:r w:rsidRPr="006B0DC6">
              <w:rPr>
                <w:rFonts w:asciiTheme="majorHAnsi" w:hAnsiTheme="majorHAnsi" w:cs="Arial"/>
                <w:sz w:val="22"/>
                <w:szCs w:val="22"/>
                <w:u w:color="0000C0"/>
              </w:rPr>
              <w:t>.</w:t>
            </w:r>
            <w:r w:rsidR="00CA2083">
              <w:rPr>
                <w:rFonts w:asciiTheme="majorHAnsi" w:hAnsiTheme="majorHAnsi" w:cs="Arial"/>
                <w:sz w:val="22"/>
                <w:szCs w:val="22"/>
                <w:u w:color="0000C0"/>
              </w:rPr>
              <w:t>”</w:t>
            </w:r>
          </w:p>
          <w:p w14:paraId="51F2B711" w14:textId="77777777" w:rsidR="006B0DC6" w:rsidRDefault="006B0DC6" w:rsidP="001C7A13">
            <w:pPr>
              <w:widowControl w:val="0"/>
              <w:autoSpaceDE w:val="0"/>
              <w:autoSpaceDN w:val="0"/>
              <w:adjustRightInd w:val="0"/>
              <w:jc w:val="both"/>
              <w:rPr>
                <w:rFonts w:asciiTheme="majorHAnsi" w:hAnsiTheme="majorHAnsi" w:cs="Times"/>
              </w:rPr>
            </w:pPr>
          </w:p>
        </w:tc>
      </w:tr>
    </w:tbl>
    <w:p w14:paraId="4124E690" w14:textId="77777777" w:rsidR="006070AF" w:rsidRDefault="006070AF" w:rsidP="001C7A13">
      <w:pPr>
        <w:jc w:val="both"/>
        <w:rPr>
          <w:rFonts w:asciiTheme="majorHAnsi" w:hAnsiTheme="majorHAnsi"/>
        </w:rPr>
      </w:pPr>
    </w:p>
    <w:p w14:paraId="1EF58A4A" w14:textId="05F09F97" w:rsidR="00B17125" w:rsidRDefault="00842C0D" w:rsidP="006070AF">
      <w:pPr>
        <w:jc w:val="both"/>
        <w:rPr>
          <w:rFonts w:asciiTheme="majorHAnsi" w:hAnsiTheme="majorHAnsi"/>
          <w:b/>
          <w:u w:val="single"/>
        </w:rPr>
      </w:pPr>
      <w:r>
        <w:rPr>
          <w:rFonts w:asciiTheme="majorHAnsi" w:hAnsiTheme="majorHAnsi"/>
          <w:b/>
          <w:u w:val="single"/>
        </w:rPr>
        <w:t xml:space="preserve">I.2. </w:t>
      </w:r>
      <w:r w:rsidR="00AC23C2">
        <w:rPr>
          <w:rFonts w:asciiTheme="majorHAnsi" w:hAnsiTheme="majorHAnsi"/>
          <w:b/>
          <w:u w:val="single"/>
        </w:rPr>
        <w:t>Limitations to Freedom of Expression on the basis of National Security in the ICCPR</w:t>
      </w:r>
    </w:p>
    <w:p w14:paraId="69FEE7CF" w14:textId="77777777" w:rsidR="00AC23C2" w:rsidRDefault="00AC23C2" w:rsidP="006070AF">
      <w:pPr>
        <w:jc w:val="both"/>
        <w:rPr>
          <w:rFonts w:asciiTheme="majorHAnsi" w:hAnsiTheme="majorHAnsi"/>
          <w:b/>
          <w:u w:val="single"/>
        </w:rPr>
      </w:pPr>
    </w:p>
    <w:p w14:paraId="3ABCE39A" w14:textId="12F65711" w:rsidR="00AC23C2" w:rsidRPr="00C0089A" w:rsidRDefault="00AC23C2" w:rsidP="00AC23C2">
      <w:pPr>
        <w:widowControl w:val="0"/>
        <w:autoSpaceDE w:val="0"/>
        <w:autoSpaceDN w:val="0"/>
        <w:adjustRightInd w:val="0"/>
        <w:jc w:val="both"/>
        <w:rPr>
          <w:rFonts w:asciiTheme="majorHAnsi" w:hAnsiTheme="majorHAnsi" w:cs="Times"/>
          <w:sz w:val="22"/>
          <w:szCs w:val="22"/>
        </w:rPr>
      </w:pPr>
      <w:r w:rsidRPr="00C0089A">
        <w:rPr>
          <w:rFonts w:asciiTheme="majorHAnsi" w:hAnsiTheme="majorHAnsi" w:cs="Times"/>
          <w:sz w:val="22"/>
          <w:szCs w:val="22"/>
        </w:rPr>
        <w:t>The International Covenant on Civil and Political Rights (ICCPR) allows certain restrictions to fundamental rights and freedoms, including freedom of expression</w:t>
      </w:r>
      <w:r w:rsidR="00D60546" w:rsidRPr="00C0089A">
        <w:rPr>
          <w:rFonts w:asciiTheme="majorHAnsi" w:hAnsiTheme="majorHAnsi" w:cs="Times"/>
          <w:sz w:val="22"/>
          <w:szCs w:val="22"/>
        </w:rPr>
        <w:t>,</w:t>
      </w:r>
      <w:r w:rsidRPr="00C0089A">
        <w:rPr>
          <w:rFonts w:asciiTheme="majorHAnsi" w:hAnsiTheme="majorHAnsi" w:cs="Times"/>
          <w:sz w:val="22"/>
          <w:szCs w:val="22"/>
        </w:rPr>
        <w:t xml:space="preserve"> on the condition that these restrictions be specified by law, serve a legitimate aim (respect of the rights and reputations of others, protection of national security or of public order, or of public morals or health) and are necessary in a democratic society. </w:t>
      </w:r>
    </w:p>
    <w:p w14:paraId="39B3170E" w14:textId="77777777" w:rsidR="00AC23C2" w:rsidRDefault="00AC23C2" w:rsidP="00AC23C2">
      <w:pPr>
        <w:widowControl w:val="0"/>
        <w:autoSpaceDE w:val="0"/>
        <w:autoSpaceDN w:val="0"/>
        <w:adjustRightInd w:val="0"/>
        <w:jc w:val="both"/>
        <w:rPr>
          <w:rFonts w:asciiTheme="majorHAnsi" w:hAnsiTheme="majorHAnsi" w:cs="Times"/>
          <w:color w:val="343434"/>
          <w:sz w:val="22"/>
          <w:szCs w:val="22"/>
        </w:rPr>
      </w:pPr>
    </w:p>
    <w:p w14:paraId="26885738" w14:textId="7B272244" w:rsidR="00AC23C2" w:rsidRPr="00AC23C2" w:rsidRDefault="00842C0D" w:rsidP="006070AF">
      <w:pPr>
        <w:jc w:val="both"/>
        <w:rPr>
          <w:rFonts w:asciiTheme="majorHAnsi" w:hAnsiTheme="majorHAnsi"/>
          <w:b/>
          <w:i/>
        </w:rPr>
      </w:pPr>
      <w:r>
        <w:rPr>
          <w:rFonts w:asciiTheme="majorHAnsi" w:hAnsiTheme="majorHAnsi"/>
          <w:b/>
          <w:i/>
        </w:rPr>
        <w:t xml:space="preserve">I.2.1. </w:t>
      </w:r>
      <w:r w:rsidR="00AC23C2" w:rsidRPr="00AC23C2">
        <w:rPr>
          <w:rFonts w:asciiTheme="majorHAnsi" w:hAnsiTheme="majorHAnsi"/>
          <w:b/>
          <w:i/>
        </w:rPr>
        <w:t>Article 19, ICCPR</w:t>
      </w:r>
    </w:p>
    <w:p w14:paraId="674FFF65" w14:textId="77777777" w:rsidR="00AC23C2" w:rsidRDefault="00AC23C2" w:rsidP="006070AF">
      <w:pPr>
        <w:jc w:val="both"/>
        <w:rPr>
          <w:rFonts w:asciiTheme="majorHAnsi" w:hAnsiTheme="majorHAnsi"/>
          <w:color w:val="000000"/>
          <w:sz w:val="22"/>
          <w:szCs w:val="22"/>
          <w:lang w:val="en-GB"/>
        </w:rPr>
      </w:pPr>
    </w:p>
    <w:p w14:paraId="6A2699EB" w14:textId="333118CA" w:rsidR="00E22777" w:rsidRPr="00E22777" w:rsidRDefault="00B17125" w:rsidP="006070AF">
      <w:pPr>
        <w:jc w:val="both"/>
        <w:rPr>
          <w:rFonts w:asciiTheme="majorHAnsi" w:hAnsiTheme="majorHAnsi"/>
          <w:color w:val="000000"/>
          <w:sz w:val="22"/>
          <w:szCs w:val="22"/>
          <w:lang w:val="en-GB"/>
        </w:rPr>
      </w:pPr>
      <w:r w:rsidRPr="00F93E8F">
        <w:rPr>
          <w:rFonts w:asciiTheme="majorHAnsi" w:hAnsiTheme="majorHAnsi"/>
          <w:color w:val="000000"/>
          <w:sz w:val="22"/>
          <w:szCs w:val="22"/>
          <w:lang w:val="en-GB"/>
        </w:rPr>
        <w:t xml:space="preserve">Article 19 does not identify the speech that may be restricted. Instead, it identifies the conditions under </w:t>
      </w:r>
      <w:r w:rsidRPr="00E22777">
        <w:rPr>
          <w:rFonts w:asciiTheme="majorHAnsi" w:hAnsiTheme="majorHAnsi"/>
          <w:color w:val="000000"/>
          <w:sz w:val="22"/>
          <w:szCs w:val="22"/>
          <w:lang w:val="en-GB"/>
        </w:rPr>
        <w:t xml:space="preserve">which a speech </w:t>
      </w:r>
      <w:r w:rsidR="00E22777" w:rsidRPr="00E22777">
        <w:rPr>
          <w:rFonts w:asciiTheme="majorHAnsi" w:hAnsiTheme="majorHAnsi"/>
          <w:color w:val="000000"/>
          <w:sz w:val="22"/>
          <w:szCs w:val="22"/>
          <w:lang w:val="en-GB"/>
        </w:rPr>
        <w:t xml:space="preserve">may be legitimately restricted.  Under the so-called </w:t>
      </w:r>
      <w:proofErr w:type="gramStart"/>
      <w:r w:rsidR="00E22777" w:rsidRPr="00E22777">
        <w:rPr>
          <w:rFonts w:asciiTheme="majorHAnsi" w:hAnsiTheme="majorHAnsi"/>
          <w:color w:val="000000"/>
          <w:sz w:val="22"/>
          <w:szCs w:val="22"/>
          <w:lang w:val="en-GB"/>
        </w:rPr>
        <w:t>three part</w:t>
      </w:r>
      <w:proofErr w:type="gramEnd"/>
      <w:r w:rsidR="00E22777" w:rsidRPr="00E22777">
        <w:rPr>
          <w:rFonts w:asciiTheme="majorHAnsi" w:hAnsiTheme="majorHAnsi"/>
          <w:color w:val="000000"/>
          <w:sz w:val="22"/>
          <w:szCs w:val="22"/>
          <w:lang w:val="en-GB"/>
        </w:rPr>
        <w:t xml:space="preserve"> test, freedom of expression may be legitimately restricted</w:t>
      </w:r>
      <w:r w:rsidRPr="00E22777">
        <w:rPr>
          <w:rFonts w:asciiTheme="majorHAnsi" w:hAnsiTheme="majorHAnsi"/>
          <w:color w:val="000000"/>
          <w:sz w:val="22"/>
          <w:szCs w:val="22"/>
          <w:lang w:val="en-GB"/>
        </w:rPr>
        <w:t xml:space="preserve"> </w:t>
      </w:r>
      <w:r w:rsidR="00E22777" w:rsidRPr="00E22777">
        <w:rPr>
          <w:rFonts w:asciiTheme="majorHAnsi" w:hAnsiTheme="majorHAnsi"/>
          <w:color w:val="000000"/>
          <w:sz w:val="22"/>
          <w:szCs w:val="22"/>
          <w:lang w:val="en-GB"/>
        </w:rPr>
        <w:t xml:space="preserve">provided (See Annex One): </w:t>
      </w:r>
    </w:p>
    <w:p w14:paraId="47908C6E" w14:textId="3274EFE7" w:rsidR="00E22777" w:rsidRPr="00E22777" w:rsidRDefault="00E22777" w:rsidP="00E22777">
      <w:pPr>
        <w:pStyle w:val="ListParagraph"/>
        <w:numPr>
          <w:ilvl w:val="0"/>
          <w:numId w:val="10"/>
        </w:numPr>
        <w:jc w:val="both"/>
        <w:rPr>
          <w:rFonts w:asciiTheme="majorHAnsi" w:hAnsiTheme="majorHAnsi"/>
          <w:color w:val="000000"/>
          <w:sz w:val="22"/>
          <w:szCs w:val="22"/>
          <w:lang w:val="en-GB"/>
        </w:rPr>
      </w:pPr>
      <w:r w:rsidRPr="00E22777">
        <w:rPr>
          <w:rFonts w:asciiTheme="majorHAnsi" w:hAnsiTheme="majorHAnsi"/>
          <w:color w:val="000000"/>
          <w:sz w:val="22"/>
          <w:szCs w:val="22"/>
          <w:lang w:val="en-GB"/>
        </w:rPr>
        <w:t xml:space="preserve">The restriction is provided by law, </w:t>
      </w:r>
    </w:p>
    <w:p w14:paraId="40CF94D9" w14:textId="6EE351B3" w:rsidR="00E22777" w:rsidRPr="00E22777" w:rsidRDefault="00E22777" w:rsidP="00E22777">
      <w:pPr>
        <w:pStyle w:val="ListParagraph"/>
        <w:numPr>
          <w:ilvl w:val="0"/>
          <w:numId w:val="10"/>
        </w:numPr>
        <w:jc w:val="both"/>
        <w:rPr>
          <w:rFonts w:asciiTheme="majorHAnsi" w:hAnsiTheme="majorHAnsi"/>
          <w:i/>
          <w:color w:val="000000"/>
          <w:sz w:val="22"/>
          <w:szCs w:val="22"/>
        </w:rPr>
      </w:pPr>
      <w:r w:rsidRPr="00E22777">
        <w:rPr>
          <w:rFonts w:asciiTheme="majorHAnsi" w:hAnsiTheme="majorHAnsi" w:cs="Times"/>
          <w:sz w:val="22"/>
          <w:szCs w:val="22"/>
        </w:rPr>
        <w:t>The grounds for the restriction are specific:</w:t>
      </w:r>
      <w:r w:rsidRPr="00E22777">
        <w:rPr>
          <w:rFonts w:ascii="Times" w:hAnsi="Times" w:cs="Times"/>
          <w:sz w:val="22"/>
          <w:szCs w:val="22"/>
        </w:rPr>
        <w:t xml:space="preserve"> </w:t>
      </w:r>
      <w:r w:rsidRPr="00E22777">
        <w:rPr>
          <w:rFonts w:asciiTheme="majorHAnsi" w:hAnsiTheme="majorHAnsi"/>
          <w:i/>
          <w:color w:val="000000"/>
          <w:sz w:val="22"/>
          <w:szCs w:val="22"/>
        </w:rPr>
        <w:t>(a) For respect of the rights or reputations of others; (b) For the protection of national security or of public order (</w:t>
      </w:r>
      <w:proofErr w:type="spellStart"/>
      <w:r w:rsidRPr="00E22777">
        <w:rPr>
          <w:rFonts w:asciiTheme="majorHAnsi" w:hAnsiTheme="majorHAnsi"/>
          <w:i/>
          <w:color w:val="000000"/>
          <w:sz w:val="22"/>
          <w:szCs w:val="22"/>
        </w:rPr>
        <w:t>ordre</w:t>
      </w:r>
      <w:proofErr w:type="spellEnd"/>
      <w:r w:rsidRPr="00E22777">
        <w:rPr>
          <w:rFonts w:asciiTheme="majorHAnsi" w:hAnsiTheme="majorHAnsi"/>
          <w:i/>
          <w:color w:val="000000"/>
          <w:sz w:val="22"/>
          <w:szCs w:val="22"/>
        </w:rPr>
        <w:t xml:space="preserve"> public), or of public health or morals.  </w:t>
      </w:r>
    </w:p>
    <w:p w14:paraId="2D174274" w14:textId="698F22A6" w:rsidR="00E22777" w:rsidRPr="00E22777" w:rsidRDefault="00E22777" w:rsidP="006070AF">
      <w:pPr>
        <w:pStyle w:val="ListParagraph"/>
        <w:numPr>
          <w:ilvl w:val="0"/>
          <w:numId w:val="10"/>
        </w:numPr>
        <w:jc w:val="both"/>
        <w:rPr>
          <w:rFonts w:asciiTheme="majorHAnsi" w:hAnsiTheme="majorHAnsi"/>
          <w:color w:val="000000"/>
          <w:sz w:val="22"/>
          <w:szCs w:val="22"/>
          <w:lang w:val="en-GB"/>
        </w:rPr>
      </w:pPr>
      <w:r w:rsidRPr="00E22777">
        <w:rPr>
          <w:rFonts w:asciiTheme="majorHAnsi" w:hAnsiTheme="majorHAnsi"/>
          <w:color w:val="000000"/>
          <w:sz w:val="22"/>
          <w:szCs w:val="22"/>
          <w:lang w:val="en-GB"/>
        </w:rPr>
        <w:t>The restriction is necessary to a democratic society and proportionate</w:t>
      </w:r>
      <w:r>
        <w:rPr>
          <w:rFonts w:asciiTheme="majorHAnsi" w:hAnsiTheme="majorHAnsi"/>
          <w:color w:val="000000"/>
          <w:sz w:val="22"/>
          <w:szCs w:val="22"/>
          <w:lang w:val="en-GB"/>
        </w:rPr>
        <w:t xml:space="preserve">. </w:t>
      </w:r>
    </w:p>
    <w:p w14:paraId="55F39C4A" w14:textId="77777777" w:rsidR="0038014C" w:rsidRDefault="0038014C" w:rsidP="0038014C">
      <w:pPr>
        <w:widowControl w:val="0"/>
        <w:autoSpaceDE w:val="0"/>
        <w:autoSpaceDN w:val="0"/>
        <w:adjustRightInd w:val="0"/>
        <w:spacing w:after="240"/>
        <w:jc w:val="both"/>
        <w:rPr>
          <w:rFonts w:asciiTheme="majorHAnsi" w:hAnsiTheme="majorHAnsi" w:cs="Times New Roman"/>
          <w:sz w:val="22"/>
          <w:szCs w:val="22"/>
        </w:rPr>
      </w:pPr>
    </w:p>
    <w:tbl>
      <w:tblPr>
        <w:tblStyle w:val="TableGrid"/>
        <w:tblW w:w="0" w:type="auto"/>
        <w:tblLook w:val="04A0" w:firstRow="1" w:lastRow="0" w:firstColumn="1" w:lastColumn="0" w:noHBand="0" w:noVBand="1"/>
      </w:tblPr>
      <w:tblGrid>
        <w:gridCol w:w="8856"/>
      </w:tblGrid>
      <w:tr w:rsidR="0038014C" w14:paraId="20DDAE6D" w14:textId="77777777" w:rsidTr="006D6209">
        <w:tc>
          <w:tcPr>
            <w:tcW w:w="8856" w:type="dxa"/>
            <w:shd w:val="clear" w:color="auto" w:fill="BFBFBF" w:themeFill="background1" w:themeFillShade="BF"/>
          </w:tcPr>
          <w:p w14:paraId="7DBFB9B7" w14:textId="77777777" w:rsidR="0038014C" w:rsidRPr="002321CE" w:rsidRDefault="0038014C" w:rsidP="0038014C">
            <w:pPr>
              <w:widowControl w:val="0"/>
              <w:autoSpaceDE w:val="0"/>
              <w:autoSpaceDN w:val="0"/>
              <w:adjustRightInd w:val="0"/>
              <w:jc w:val="center"/>
              <w:rPr>
                <w:rFonts w:asciiTheme="majorHAnsi" w:hAnsiTheme="majorHAnsi" w:cs="Arial"/>
                <w:b/>
                <w:sz w:val="28"/>
                <w:szCs w:val="28"/>
              </w:rPr>
            </w:pPr>
            <w:r w:rsidRPr="002321CE">
              <w:rPr>
                <w:rFonts w:asciiTheme="majorHAnsi" w:hAnsiTheme="majorHAnsi" w:cs="Arial"/>
                <w:b/>
                <w:sz w:val="28"/>
                <w:szCs w:val="28"/>
              </w:rPr>
              <w:t>The proportionality Test</w:t>
            </w:r>
          </w:p>
          <w:p w14:paraId="3F44A4D5" w14:textId="77777777" w:rsidR="0038014C" w:rsidRPr="00D27B60" w:rsidRDefault="0038014C" w:rsidP="0038014C">
            <w:pPr>
              <w:widowControl w:val="0"/>
              <w:autoSpaceDE w:val="0"/>
              <w:autoSpaceDN w:val="0"/>
              <w:adjustRightInd w:val="0"/>
              <w:jc w:val="both"/>
              <w:rPr>
                <w:rFonts w:asciiTheme="majorHAnsi" w:hAnsiTheme="majorHAnsi" w:cs="Arial"/>
              </w:rPr>
            </w:pPr>
          </w:p>
          <w:p w14:paraId="5236F18E" w14:textId="4D7819F6" w:rsidR="0038014C" w:rsidRPr="00D27B60" w:rsidRDefault="0038014C" w:rsidP="0038014C">
            <w:pPr>
              <w:widowControl w:val="0"/>
              <w:autoSpaceDE w:val="0"/>
              <w:autoSpaceDN w:val="0"/>
              <w:adjustRightInd w:val="0"/>
              <w:jc w:val="both"/>
              <w:rPr>
                <w:rFonts w:asciiTheme="majorHAnsi" w:hAnsiTheme="majorHAnsi" w:cs="Arial"/>
                <w:u w:color="0000C0"/>
              </w:rPr>
            </w:pPr>
            <w:r w:rsidRPr="00B12796">
              <w:rPr>
                <w:rFonts w:asciiTheme="majorHAnsi" w:hAnsiTheme="majorHAnsi" w:cs="Arial"/>
                <w:sz w:val="22"/>
                <w:szCs w:val="22"/>
              </w:rPr>
              <w:t>The fundamental litmus test that must be met is the proportionality test.</w:t>
            </w:r>
            <w:r w:rsidRPr="00B12796">
              <w:rPr>
                <w:rFonts w:asciiTheme="majorHAnsi" w:hAnsiTheme="majorHAnsi" w:cs="Arial"/>
                <w:sz w:val="22"/>
                <w:szCs w:val="22"/>
                <w:u w:color="0000C0"/>
              </w:rPr>
              <w:t xml:space="preserve"> The Court is required to consider whether the restriction is the ‘least restrictive means’ for achieving the relevant purpose, in this case: protecting the public from an act of violence, terrorism or similar.”</w:t>
            </w:r>
          </w:p>
        </w:tc>
      </w:tr>
    </w:tbl>
    <w:p w14:paraId="73795D44" w14:textId="77777777" w:rsidR="0038014C" w:rsidRPr="00D727BE" w:rsidRDefault="0038014C" w:rsidP="0038014C">
      <w:pPr>
        <w:widowControl w:val="0"/>
        <w:autoSpaceDE w:val="0"/>
        <w:autoSpaceDN w:val="0"/>
        <w:adjustRightInd w:val="0"/>
        <w:spacing w:after="240"/>
        <w:jc w:val="both"/>
        <w:rPr>
          <w:rFonts w:asciiTheme="majorHAnsi" w:hAnsiTheme="majorHAnsi" w:cs="Times"/>
          <w:sz w:val="22"/>
          <w:szCs w:val="22"/>
        </w:rPr>
      </w:pPr>
    </w:p>
    <w:p w14:paraId="5E06A45C" w14:textId="5187E9A3" w:rsidR="004D0EA5" w:rsidRPr="00F93E8F" w:rsidRDefault="007B0992" w:rsidP="00B17125">
      <w:pPr>
        <w:jc w:val="both"/>
        <w:rPr>
          <w:rFonts w:asciiTheme="majorHAnsi" w:hAnsiTheme="majorHAnsi"/>
          <w:sz w:val="22"/>
          <w:szCs w:val="22"/>
        </w:rPr>
      </w:pPr>
      <w:r w:rsidRPr="00F93E8F">
        <w:rPr>
          <w:rFonts w:asciiTheme="majorHAnsi" w:hAnsiTheme="majorHAnsi"/>
          <w:sz w:val="22"/>
          <w:szCs w:val="22"/>
        </w:rPr>
        <w:t>National security is one of the permissible grounds for limitation of the</w:t>
      </w:r>
      <w:r w:rsidR="00B17125" w:rsidRPr="00F93E8F">
        <w:rPr>
          <w:rFonts w:asciiTheme="majorHAnsi" w:hAnsiTheme="majorHAnsi"/>
          <w:sz w:val="22"/>
          <w:szCs w:val="22"/>
        </w:rPr>
        <w:t xml:space="preserve"> </w:t>
      </w:r>
      <w:r w:rsidR="00E22777">
        <w:rPr>
          <w:rFonts w:asciiTheme="majorHAnsi" w:hAnsiTheme="majorHAnsi"/>
          <w:sz w:val="22"/>
          <w:szCs w:val="22"/>
        </w:rPr>
        <w:t>right to freedom of expression.</w:t>
      </w:r>
      <w:r w:rsidR="00B17125" w:rsidRPr="00F93E8F">
        <w:rPr>
          <w:rStyle w:val="FootnoteReference"/>
          <w:rFonts w:asciiTheme="majorHAnsi" w:hAnsiTheme="majorHAnsi"/>
          <w:sz w:val="22"/>
          <w:szCs w:val="22"/>
        </w:rPr>
        <w:footnoteReference w:id="10"/>
      </w:r>
      <w:r w:rsidR="00B17125" w:rsidRPr="00F93E8F">
        <w:rPr>
          <w:rFonts w:asciiTheme="majorHAnsi" w:hAnsiTheme="majorHAnsi"/>
          <w:sz w:val="22"/>
          <w:szCs w:val="22"/>
        </w:rPr>
        <w:t xml:space="preserve"> </w:t>
      </w:r>
    </w:p>
    <w:p w14:paraId="3FDC4C77" w14:textId="77777777" w:rsidR="004D0EA5" w:rsidRDefault="004D0EA5" w:rsidP="006070AF">
      <w:pPr>
        <w:jc w:val="both"/>
        <w:rPr>
          <w:rFonts w:asciiTheme="majorHAnsi" w:hAnsiTheme="majorHAnsi"/>
          <w:sz w:val="22"/>
          <w:szCs w:val="22"/>
        </w:rPr>
      </w:pPr>
    </w:p>
    <w:p w14:paraId="116DA0C5" w14:textId="11CDEBFC" w:rsidR="00C0089A" w:rsidRPr="00F43897" w:rsidRDefault="00C0089A" w:rsidP="00C0089A">
      <w:pPr>
        <w:widowControl w:val="0"/>
        <w:autoSpaceDE w:val="0"/>
        <w:autoSpaceDN w:val="0"/>
        <w:adjustRightInd w:val="0"/>
        <w:jc w:val="both"/>
        <w:rPr>
          <w:rFonts w:asciiTheme="majorHAnsi" w:hAnsiTheme="majorHAnsi" w:cs="Times"/>
          <w:sz w:val="22"/>
          <w:szCs w:val="22"/>
        </w:rPr>
      </w:pPr>
      <w:r>
        <w:rPr>
          <w:rFonts w:asciiTheme="majorHAnsi" w:hAnsiTheme="majorHAnsi" w:cs="Times"/>
          <w:sz w:val="22"/>
          <w:szCs w:val="22"/>
        </w:rPr>
        <w:t xml:space="preserve">The </w:t>
      </w:r>
      <w:r w:rsidRPr="00C0089A">
        <w:rPr>
          <w:rFonts w:asciiTheme="majorHAnsi" w:hAnsiTheme="majorHAnsi" w:cs="Times"/>
          <w:sz w:val="22"/>
          <w:szCs w:val="22"/>
        </w:rPr>
        <w:t xml:space="preserve">Syracuse Principles on the Limitations and Derogation Provisions in the International Covenant on Civil and Political Rights (ICCPR), adopted by the UN Economic and Social Council in 1985, require that the </w:t>
      </w:r>
      <w:r w:rsidRPr="00F43897">
        <w:rPr>
          <w:rFonts w:asciiTheme="majorHAnsi" w:hAnsiTheme="majorHAnsi" w:cs="Times"/>
          <w:sz w:val="22"/>
          <w:szCs w:val="22"/>
        </w:rPr>
        <w:t xml:space="preserve">scope of a limitation referred to in the Covenant shall not be interpreted in such a way as to jeopardize the essence of the right concerned.  </w:t>
      </w:r>
      <w:r w:rsidRPr="00F43897">
        <w:rPr>
          <w:rFonts w:asciiTheme="majorHAnsi" w:hAnsiTheme="majorHAnsi"/>
          <w:bCs/>
          <w:sz w:val="22"/>
          <w:szCs w:val="22"/>
        </w:rPr>
        <w:t>They define a legitimate national security interest as one that aims</w:t>
      </w:r>
      <w:r w:rsidRPr="00F43897">
        <w:rPr>
          <w:rFonts w:asciiTheme="majorHAnsi" w:hAnsiTheme="majorHAnsi"/>
          <w:sz w:val="22"/>
          <w:szCs w:val="22"/>
        </w:rPr>
        <w:t xml:space="preserve"> </w:t>
      </w:r>
      <w:r w:rsidRPr="00F43897">
        <w:rPr>
          <w:rFonts w:asciiTheme="majorHAnsi" w:hAnsiTheme="majorHAnsi"/>
          <w:bCs/>
          <w:sz w:val="22"/>
          <w:szCs w:val="22"/>
        </w:rPr>
        <w:t>"</w:t>
      </w:r>
      <w:r w:rsidRPr="00F43897">
        <w:rPr>
          <w:rFonts w:asciiTheme="majorHAnsi" w:hAnsiTheme="majorHAnsi"/>
          <w:bCs/>
          <w:i/>
          <w:sz w:val="22"/>
          <w:szCs w:val="22"/>
        </w:rPr>
        <w:t>to protect the existence of the nation or its territorial integrity or political independence against force or threat of force.</w:t>
      </w:r>
      <w:r w:rsidRPr="00F43897">
        <w:rPr>
          <w:rFonts w:asciiTheme="majorHAnsi" w:hAnsiTheme="majorHAnsi"/>
          <w:bCs/>
          <w:sz w:val="22"/>
          <w:szCs w:val="22"/>
        </w:rPr>
        <w:t>"</w:t>
      </w:r>
      <w:r w:rsidRPr="00F43897">
        <w:rPr>
          <w:rStyle w:val="FootnoteReference"/>
          <w:rFonts w:asciiTheme="majorHAnsi" w:hAnsiTheme="majorHAnsi"/>
          <w:bCs/>
          <w:sz w:val="22"/>
          <w:szCs w:val="22"/>
        </w:rPr>
        <w:footnoteReference w:id="11"/>
      </w:r>
      <w:r w:rsidRPr="00F43897">
        <w:rPr>
          <w:rFonts w:asciiTheme="majorHAnsi" w:hAnsiTheme="majorHAnsi"/>
          <w:bCs/>
          <w:sz w:val="22"/>
          <w:szCs w:val="22"/>
        </w:rPr>
        <w:t xml:space="preserve">  </w:t>
      </w:r>
    </w:p>
    <w:p w14:paraId="27E4D935" w14:textId="77777777" w:rsidR="00C0089A" w:rsidRPr="00F93E8F" w:rsidRDefault="00C0089A" w:rsidP="006070AF">
      <w:pPr>
        <w:jc w:val="both"/>
        <w:rPr>
          <w:rFonts w:asciiTheme="majorHAnsi" w:hAnsiTheme="majorHAnsi"/>
          <w:sz w:val="22"/>
          <w:szCs w:val="22"/>
        </w:rPr>
      </w:pPr>
    </w:p>
    <w:p w14:paraId="0DD3086C" w14:textId="70C91564" w:rsidR="00136F69" w:rsidRDefault="00F93E8F" w:rsidP="00136F69">
      <w:pPr>
        <w:jc w:val="both"/>
        <w:rPr>
          <w:rFonts w:asciiTheme="majorHAnsi" w:hAnsiTheme="majorHAnsi"/>
          <w:color w:val="000000"/>
          <w:sz w:val="22"/>
          <w:szCs w:val="22"/>
          <w:lang w:val="en-GB"/>
        </w:rPr>
      </w:pPr>
      <w:r>
        <w:rPr>
          <w:rFonts w:asciiTheme="majorHAnsi" w:hAnsiTheme="majorHAnsi"/>
          <w:color w:val="000000"/>
          <w:sz w:val="22"/>
          <w:szCs w:val="22"/>
          <w:lang w:val="en-GB"/>
        </w:rPr>
        <w:t xml:space="preserve">In </w:t>
      </w:r>
      <w:r w:rsidRPr="00F43897">
        <w:rPr>
          <w:rFonts w:asciiTheme="majorHAnsi" w:hAnsiTheme="majorHAnsi"/>
          <w:b/>
          <w:color w:val="000000"/>
          <w:sz w:val="22"/>
          <w:szCs w:val="22"/>
          <w:lang w:val="en-GB"/>
        </w:rPr>
        <w:t>General Comment 34</w:t>
      </w:r>
      <w:r>
        <w:rPr>
          <w:rFonts w:asciiTheme="majorHAnsi" w:hAnsiTheme="majorHAnsi"/>
          <w:color w:val="000000"/>
          <w:sz w:val="22"/>
          <w:szCs w:val="22"/>
          <w:lang w:val="en-GB"/>
        </w:rPr>
        <w:t xml:space="preserve">, the Human Rights Committee (HRC) </w:t>
      </w:r>
      <w:r w:rsidR="00136F69">
        <w:rPr>
          <w:rFonts w:asciiTheme="majorHAnsi" w:hAnsiTheme="majorHAnsi"/>
          <w:color w:val="000000"/>
          <w:sz w:val="22"/>
          <w:szCs w:val="22"/>
          <w:lang w:val="en-GB"/>
        </w:rPr>
        <w:t xml:space="preserve">has interpreted Article 19 and offered a number of pertinent analyses regarding national security. </w:t>
      </w:r>
    </w:p>
    <w:p w14:paraId="6D467F68" w14:textId="77777777" w:rsidR="00136F69" w:rsidRDefault="00136F69" w:rsidP="00136F69">
      <w:pPr>
        <w:jc w:val="both"/>
        <w:rPr>
          <w:rFonts w:asciiTheme="majorHAnsi" w:hAnsiTheme="majorHAnsi"/>
          <w:color w:val="000000"/>
          <w:sz w:val="22"/>
          <w:szCs w:val="22"/>
          <w:lang w:val="en-GB"/>
        </w:rPr>
      </w:pPr>
    </w:p>
    <w:p w14:paraId="5CDFC464" w14:textId="0F0C0D22" w:rsidR="00136F69" w:rsidRPr="00D727BE" w:rsidRDefault="00136F69" w:rsidP="002B7E5C">
      <w:pPr>
        <w:jc w:val="both"/>
        <w:rPr>
          <w:rFonts w:asciiTheme="majorHAnsi" w:hAnsiTheme="majorHAnsi" w:cs="Times New Roman"/>
          <w:i/>
          <w:sz w:val="22"/>
          <w:szCs w:val="22"/>
        </w:rPr>
      </w:pPr>
      <w:r w:rsidRPr="00F43897">
        <w:rPr>
          <w:rFonts w:asciiTheme="majorHAnsi" w:hAnsiTheme="majorHAnsi"/>
          <w:b/>
          <w:color w:val="000000"/>
          <w:sz w:val="22"/>
          <w:szCs w:val="22"/>
          <w:lang w:val="en-GB"/>
        </w:rPr>
        <w:t>First,</w:t>
      </w:r>
      <w:r w:rsidRPr="00D727BE">
        <w:rPr>
          <w:rFonts w:asciiTheme="majorHAnsi" w:hAnsiTheme="majorHAnsi"/>
          <w:color w:val="000000"/>
          <w:sz w:val="22"/>
          <w:szCs w:val="22"/>
          <w:lang w:val="en-GB"/>
        </w:rPr>
        <w:t xml:space="preserve"> </w:t>
      </w:r>
      <w:r w:rsidR="002B7E5C" w:rsidRPr="00D727BE">
        <w:rPr>
          <w:rFonts w:asciiTheme="majorHAnsi" w:hAnsiTheme="majorHAnsi"/>
          <w:color w:val="000000"/>
          <w:sz w:val="22"/>
          <w:szCs w:val="22"/>
          <w:lang w:val="en-GB"/>
        </w:rPr>
        <w:t xml:space="preserve">with regard to the legal bases for a restriction on the basis of national security, the HRC insists that </w:t>
      </w:r>
      <w:r w:rsidR="002B7E5C" w:rsidRPr="00D727BE">
        <w:rPr>
          <w:rFonts w:asciiTheme="majorHAnsi" w:hAnsiTheme="majorHAnsi" w:cs="Times New Roman"/>
          <w:i/>
          <w:sz w:val="22"/>
          <w:szCs w:val="22"/>
        </w:rPr>
        <w:t>“i</w:t>
      </w:r>
      <w:r w:rsidRPr="00D727BE">
        <w:rPr>
          <w:rFonts w:asciiTheme="majorHAnsi" w:hAnsiTheme="majorHAnsi" w:cs="Times New Roman"/>
          <w:i/>
          <w:sz w:val="22"/>
          <w:szCs w:val="22"/>
        </w:rPr>
        <w:t>t is not compatible with paragraph 3, for instance, to invoke such laws to suppress or withhold from the public information of legitimate public interest that does not harm national security or to prosecute journalists, researchers, environmental activists, human rights defenders, or others, for having disseminated such information...</w:t>
      </w:r>
      <w:r w:rsidR="005052F7">
        <w:rPr>
          <w:rStyle w:val="FootnoteReference"/>
          <w:rFonts w:asciiTheme="majorHAnsi" w:hAnsiTheme="majorHAnsi" w:cs="Times New Roman"/>
          <w:i/>
          <w:sz w:val="22"/>
          <w:szCs w:val="22"/>
        </w:rPr>
        <w:footnoteReference w:id="12"/>
      </w:r>
      <w:r w:rsidR="002B7E5C" w:rsidRPr="00D727BE">
        <w:rPr>
          <w:rFonts w:asciiTheme="majorHAnsi" w:hAnsiTheme="majorHAnsi" w:cs="Times New Roman"/>
          <w:i/>
          <w:sz w:val="22"/>
          <w:szCs w:val="22"/>
        </w:rPr>
        <w:t>”</w:t>
      </w:r>
    </w:p>
    <w:p w14:paraId="728040BD" w14:textId="77777777" w:rsidR="002B7E5C" w:rsidRPr="00D727BE" w:rsidRDefault="002B7E5C" w:rsidP="002B7E5C">
      <w:pPr>
        <w:widowControl w:val="0"/>
        <w:autoSpaceDE w:val="0"/>
        <w:autoSpaceDN w:val="0"/>
        <w:adjustRightInd w:val="0"/>
        <w:jc w:val="both"/>
        <w:rPr>
          <w:rFonts w:asciiTheme="majorHAnsi" w:hAnsiTheme="majorHAnsi" w:cs="Times New Roman"/>
          <w:sz w:val="22"/>
          <w:szCs w:val="22"/>
        </w:rPr>
      </w:pPr>
    </w:p>
    <w:p w14:paraId="6C17B411" w14:textId="25491E9B" w:rsidR="00C0089A" w:rsidRPr="00D727BE" w:rsidRDefault="00C0089A" w:rsidP="00C0089A">
      <w:pPr>
        <w:widowControl w:val="0"/>
        <w:tabs>
          <w:tab w:val="left" w:pos="220"/>
          <w:tab w:val="left" w:pos="720"/>
        </w:tabs>
        <w:autoSpaceDE w:val="0"/>
        <w:autoSpaceDN w:val="0"/>
        <w:adjustRightInd w:val="0"/>
        <w:jc w:val="both"/>
        <w:rPr>
          <w:rFonts w:asciiTheme="majorHAnsi" w:hAnsiTheme="majorHAnsi" w:cs="Times"/>
          <w:i/>
          <w:sz w:val="22"/>
          <w:szCs w:val="22"/>
        </w:rPr>
      </w:pPr>
      <w:r w:rsidRPr="00D727BE">
        <w:rPr>
          <w:rFonts w:asciiTheme="majorHAnsi" w:hAnsiTheme="majorHAnsi"/>
          <w:bCs/>
          <w:sz w:val="22"/>
          <w:szCs w:val="22"/>
        </w:rPr>
        <w:t xml:space="preserve">Similarly, the </w:t>
      </w:r>
      <w:proofErr w:type="spellStart"/>
      <w:r w:rsidRPr="00D727BE">
        <w:rPr>
          <w:rFonts w:asciiTheme="majorHAnsi" w:hAnsiTheme="majorHAnsi"/>
          <w:bCs/>
          <w:sz w:val="22"/>
          <w:szCs w:val="22"/>
        </w:rPr>
        <w:t>Siracusa</w:t>
      </w:r>
      <w:proofErr w:type="spellEnd"/>
      <w:r w:rsidRPr="00D727BE">
        <w:rPr>
          <w:rFonts w:asciiTheme="majorHAnsi" w:hAnsiTheme="majorHAnsi"/>
          <w:bCs/>
          <w:sz w:val="22"/>
          <w:szCs w:val="22"/>
        </w:rPr>
        <w:t xml:space="preserve"> Principles indicate that a national security limitation "cannot be invoked as a reason for imposing limitations to prevent merely local or relatively isolated threats to law and order."</w:t>
      </w:r>
      <w:r w:rsidRPr="00D727BE">
        <w:rPr>
          <w:rStyle w:val="FootnoteReference"/>
          <w:rFonts w:asciiTheme="majorHAnsi" w:hAnsiTheme="majorHAnsi"/>
          <w:bCs/>
          <w:sz w:val="22"/>
          <w:szCs w:val="22"/>
        </w:rPr>
        <w:footnoteReference w:id="13"/>
      </w:r>
      <w:r w:rsidRPr="00D727BE">
        <w:rPr>
          <w:rFonts w:asciiTheme="majorHAnsi" w:hAnsiTheme="majorHAnsi"/>
          <w:bCs/>
          <w:sz w:val="22"/>
          <w:szCs w:val="22"/>
        </w:rPr>
        <w:t xml:space="preserve"> They also insist that “</w:t>
      </w:r>
      <w:r w:rsidRPr="00D727BE">
        <w:rPr>
          <w:rFonts w:asciiTheme="majorHAnsi" w:hAnsiTheme="majorHAnsi" w:cs="Times New Roman"/>
          <w:i/>
          <w:sz w:val="22"/>
          <w:szCs w:val="22"/>
        </w:rPr>
        <w:t>National security cannot be used as a pretext for imposing vague or arbitrary limitations and may only be invoked when there exists adequate safeguards and effective remedies against abuse”</w:t>
      </w:r>
      <w:r w:rsidRPr="00D727BE">
        <w:rPr>
          <w:rStyle w:val="FootnoteReference"/>
          <w:rFonts w:asciiTheme="majorHAnsi" w:hAnsiTheme="majorHAnsi" w:cs="Times New Roman"/>
          <w:i/>
          <w:sz w:val="22"/>
          <w:szCs w:val="22"/>
        </w:rPr>
        <w:footnoteReference w:id="14"/>
      </w:r>
      <w:proofErr w:type="gramStart"/>
      <w:r w:rsidRPr="00D727BE">
        <w:rPr>
          <w:rFonts w:asciiTheme="majorHAnsi" w:hAnsiTheme="majorHAnsi" w:cs="Times New Roman"/>
          <w:i/>
          <w:sz w:val="22"/>
          <w:szCs w:val="22"/>
        </w:rPr>
        <w:t>. </w:t>
      </w:r>
      <w:proofErr w:type="gramEnd"/>
    </w:p>
    <w:p w14:paraId="6463DACC" w14:textId="77777777" w:rsidR="00C0089A" w:rsidRPr="00D727BE" w:rsidRDefault="00C0089A" w:rsidP="002B7E5C">
      <w:pPr>
        <w:widowControl w:val="0"/>
        <w:autoSpaceDE w:val="0"/>
        <w:autoSpaceDN w:val="0"/>
        <w:adjustRightInd w:val="0"/>
        <w:jc w:val="both"/>
        <w:rPr>
          <w:rFonts w:asciiTheme="majorHAnsi" w:hAnsiTheme="majorHAnsi" w:cs="Times New Roman"/>
          <w:sz w:val="22"/>
          <w:szCs w:val="22"/>
        </w:rPr>
      </w:pPr>
    </w:p>
    <w:p w14:paraId="0F7E28BE" w14:textId="1BF057E1" w:rsidR="00136F69" w:rsidRPr="00D727BE" w:rsidRDefault="002B7E5C" w:rsidP="00136F69">
      <w:pPr>
        <w:widowControl w:val="0"/>
        <w:autoSpaceDE w:val="0"/>
        <w:autoSpaceDN w:val="0"/>
        <w:adjustRightInd w:val="0"/>
        <w:spacing w:after="240"/>
        <w:jc w:val="both"/>
        <w:rPr>
          <w:rFonts w:asciiTheme="majorHAnsi" w:hAnsiTheme="majorHAnsi" w:cs="Times"/>
          <w:sz w:val="22"/>
          <w:szCs w:val="22"/>
        </w:rPr>
      </w:pPr>
      <w:r w:rsidRPr="00F43897">
        <w:rPr>
          <w:rFonts w:asciiTheme="majorHAnsi" w:hAnsiTheme="majorHAnsi" w:cs="Times New Roman"/>
          <w:b/>
          <w:sz w:val="22"/>
          <w:szCs w:val="22"/>
        </w:rPr>
        <w:t>Second,</w:t>
      </w:r>
      <w:r w:rsidRPr="00D727BE">
        <w:rPr>
          <w:rFonts w:asciiTheme="majorHAnsi" w:hAnsiTheme="majorHAnsi" w:cs="Times New Roman"/>
          <w:sz w:val="22"/>
          <w:szCs w:val="22"/>
        </w:rPr>
        <w:t xml:space="preserve"> the HRC </w:t>
      </w:r>
      <w:r w:rsidR="00536DFE" w:rsidRPr="00D727BE">
        <w:rPr>
          <w:rFonts w:asciiTheme="majorHAnsi" w:hAnsiTheme="majorHAnsi" w:cs="Times New Roman"/>
          <w:sz w:val="22"/>
          <w:szCs w:val="22"/>
        </w:rPr>
        <w:t xml:space="preserve">requires that a </w:t>
      </w:r>
      <w:r w:rsidR="00136F69" w:rsidRPr="00D727BE">
        <w:rPr>
          <w:rFonts w:asciiTheme="majorHAnsi" w:hAnsiTheme="majorHAnsi" w:cs="Times New Roman"/>
          <w:sz w:val="22"/>
          <w:szCs w:val="22"/>
        </w:rPr>
        <w:t xml:space="preserve">State </w:t>
      </w:r>
      <w:r w:rsidR="00536DFE" w:rsidRPr="00D727BE">
        <w:rPr>
          <w:rFonts w:asciiTheme="majorHAnsi" w:hAnsiTheme="majorHAnsi" w:cs="Times New Roman"/>
          <w:sz w:val="22"/>
          <w:szCs w:val="22"/>
        </w:rPr>
        <w:t xml:space="preserve">invoking national security to restrict freedom of expression </w:t>
      </w:r>
      <w:r w:rsidR="00136F69" w:rsidRPr="00D727BE">
        <w:rPr>
          <w:rFonts w:asciiTheme="majorHAnsi" w:hAnsiTheme="majorHAnsi" w:cs="Times New Roman"/>
          <w:sz w:val="22"/>
          <w:szCs w:val="22"/>
        </w:rPr>
        <w:t xml:space="preserve">party </w:t>
      </w:r>
      <w:r w:rsidR="00536DFE" w:rsidRPr="00D727BE">
        <w:rPr>
          <w:rFonts w:asciiTheme="majorHAnsi" w:hAnsiTheme="majorHAnsi" w:cs="Times New Roman"/>
          <w:i/>
          <w:sz w:val="22"/>
          <w:szCs w:val="22"/>
        </w:rPr>
        <w:t>“</w:t>
      </w:r>
      <w:r w:rsidR="00136F69" w:rsidRPr="00D727BE">
        <w:rPr>
          <w:rFonts w:asciiTheme="majorHAnsi" w:hAnsiTheme="majorHAnsi" w:cs="Times New Roman"/>
          <w:i/>
          <w:sz w:val="22"/>
          <w:szCs w:val="22"/>
        </w:rPr>
        <w:t>demonstrate in specific and individualized fashion the precise nature of the threat, and the necessity and proportionality of the specific action taken, in particular by establishing a direct and immediate connection between the expression and the threat.</w:t>
      </w:r>
      <w:r w:rsidR="005052F7">
        <w:rPr>
          <w:rStyle w:val="FootnoteReference"/>
          <w:rFonts w:asciiTheme="majorHAnsi" w:hAnsiTheme="majorHAnsi" w:cs="Times New Roman"/>
          <w:i/>
          <w:sz w:val="22"/>
          <w:szCs w:val="22"/>
        </w:rPr>
        <w:footnoteReference w:id="15"/>
      </w:r>
      <w:r w:rsidR="00536DFE" w:rsidRPr="00D727BE">
        <w:rPr>
          <w:rFonts w:asciiTheme="majorHAnsi" w:hAnsiTheme="majorHAnsi" w:cs="Times New Roman"/>
          <w:i/>
          <w:sz w:val="22"/>
          <w:szCs w:val="22"/>
        </w:rPr>
        <w:t>”</w:t>
      </w:r>
      <w:r w:rsidR="00136F69" w:rsidRPr="00D727BE">
        <w:rPr>
          <w:rFonts w:asciiTheme="majorHAnsi" w:hAnsiTheme="majorHAnsi" w:cs="Times New Roman"/>
          <w:position w:val="10"/>
          <w:sz w:val="22"/>
          <w:szCs w:val="22"/>
        </w:rPr>
        <w:t xml:space="preserve"> </w:t>
      </w:r>
    </w:p>
    <w:p w14:paraId="24DE6979" w14:textId="284FB4FD" w:rsidR="00536DFE" w:rsidRPr="00D727BE" w:rsidRDefault="00536DFE" w:rsidP="00536DFE">
      <w:pPr>
        <w:widowControl w:val="0"/>
        <w:autoSpaceDE w:val="0"/>
        <w:autoSpaceDN w:val="0"/>
        <w:adjustRightInd w:val="0"/>
        <w:jc w:val="both"/>
        <w:rPr>
          <w:rFonts w:asciiTheme="majorHAnsi" w:hAnsiTheme="majorHAnsi" w:cs="Times New Roman"/>
          <w:sz w:val="22"/>
          <w:szCs w:val="22"/>
        </w:rPr>
      </w:pPr>
      <w:r w:rsidRPr="00F43897">
        <w:rPr>
          <w:rFonts w:asciiTheme="majorHAnsi" w:hAnsiTheme="majorHAnsi" w:cs="Times New Roman"/>
          <w:b/>
          <w:sz w:val="22"/>
          <w:szCs w:val="22"/>
        </w:rPr>
        <w:t>Third,</w:t>
      </w:r>
      <w:r w:rsidRPr="00D727BE">
        <w:rPr>
          <w:rFonts w:asciiTheme="majorHAnsi" w:hAnsiTheme="majorHAnsi" w:cs="Times New Roman"/>
          <w:sz w:val="22"/>
          <w:szCs w:val="22"/>
        </w:rPr>
        <w:t xml:space="preserve"> </w:t>
      </w:r>
      <w:r w:rsidR="002B7E5C" w:rsidRPr="00D727BE">
        <w:rPr>
          <w:rFonts w:asciiTheme="majorHAnsi" w:hAnsiTheme="majorHAnsi" w:cs="Times New Roman"/>
          <w:sz w:val="22"/>
          <w:szCs w:val="22"/>
        </w:rPr>
        <w:t xml:space="preserve">the HRC warns against </w:t>
      </w:r>
      <w:r w:rsidRPr="00D727BE">
        <w:rPr>
          <w:rFonts w:asciiTheme="majorHAnsi" w:hAnsiTheme="majorHAnsi" w:cs="Times New Roman"/>
          <w:sz w:val="22"/>
          <w:szCs w:val="22"/>
        </w:rPr>
        <w:t>the risks of abusing</w:t>
      </w:r>
      <w:r w:rsidR="002B7E5C" w:rsidRPr="00D727BE">
        <w:rPr>
          <w:rFonts w:asciiTheme="majorHAnsi" w:hAnsiTheme="majorHAnsi" w:cs="Times New Roman"/>
          <w:sz w:val="22"/>
          <w:szCs w:val="22"/>
        </w:rPr>
        <w:t xml:space="preserve"> </w:t>
      </w:r>
      <w:r w:rsidRPr="00D727BE">
        <w:rPr>
          <w:rFonts w:asciiTheme="majorHAnsi" w:hAnsiTheme="majorHAnsi" w:cs="Times New Roman"/>
          <w:sz w:val="22"/>
          <w:szCs w:val="22"/>
        </w:rPr>
        <w:t xml:space="preserve">national security: </w:t>
      </w:r>
    </w:p>
    <w:p w14:paraId="75EDB086" w14:textId="4F941D2F" w:rsidR="00136F69" w:rsidRPr="00D727BE" w:rsidRDefault="00536DFE" w:rsidP="00536DFE">
      <w:pPr>
        <w:widowControl w:val="0"/>
        <w:autoSpaceDE w:val="0"/>
        <w:autoSpaceDN w:val="0"/>
        <w:adjustRightInd w:val="0"/>
        <w:spacing w:after="240"/>
        <w:ind w:left="720"/>
        <w:jc w:val="both"/>
        <w:rPr>
          <w:rFonts w:asciiTheme="majorHAnsi" w:hAnsiTheme="majorHAnsi" w:cs="Times"/>
          <w:i/>
          <w:sz w:val="22"/>
          <w:szCs w:val="22"/>
        </w:rPr>
      </w:pPr>
      <w:r w:rsidRPr="00D727BE">
        <w:rPr>
          <w:rFonts w:asciiTheme="majorHAnsi" w:hAnsiTheme="majorHAnsi" w:cs="Times New Roman"/>
          <w:i/>
          <w:sz w:val="22"/>
          <w:szCs w:val="22"/>
        </w:rPr>
        <w:t>“</w:t>
      </w:r>
      <w:r w:rsidR="00136F69" w:rsidRPr="00D727BE">
        <w:rPr>
          <w:rFonts w:asciiTheme="majorHAnsi" w:hAnsiTheme="majorHAnsi" w:cs="Times New Roman"/>
          <w:i/>
          <w:sz w:val="22"/>
          <w:szCs w:val="22"/>
        </w:rPr>
        <w:t>It is normally incompatible with paragraph 3 to restrict the freedom of journalists and others who seek to exercise their freedom of expression (such as persons who wish to travel to human rights-related meetings)</w:t>
      </w:r>
      <w:r w:rsidR="00136F69" w:rsidRPr="00D727BE">
        <w:rPr>
          <w:rFonts w:asciiTheme="majorHAnsi" w:hAnsiTheme="majorHAnsi" w:cs="Times New Roman"/>
          <w:i/>
          <w:position w:val="13"/>
          <w:sz w:val="22"/>
          <w:szCs w:val="22"/>
        </w:rPr>
        <w:t xml:space="preserve"> </w:t>
      </w:r>
      <w:r w:rsidR="00136F69" w:rsidRPr="00D727BE">
        <w:rPr>
          <w:rFonts w:asciiTheme="majorHAnsi" w:hAnsiTheme="majorHAnsi" w:cs="Times New Roman"/>
          <w:i/>
          <w:sz w:val="22"/>
          <w:szCs w:val="22"/>
        </w:rPr>
        <w:t>to travel outside the State party, to restrict the entry into the State party of foreign journalists to those from specified countries</w:t>
      </w:r>
      <w:r w:rsidR="00136F69" w:rsidRPr="00D727BE">
        <w:rPr>
          <w:rFonts w:asciiTheme="majorHAnsi" w:hAnsiTheme="majorHAnsi" w:cs="Times New Roman"/>
          <w:i/>
          <w:position w:val="10"/>
          <w:sz w:val="22"/>
          <w:szCs w:val="22"/>
        </w:rPr>
        <w:t xml:space="preserve"> </w:t>
      </w:r>
      <w:r w:rsidR="00136F69" w:rsidRPr="00D727BE">
        <w:rPr>
          <w:rFonts w:asciiTheme="majorHAnsi" w:hAnsiTheme="majorHAnsi" w:cs="Times New Roman"/>
          <w:i/>
          <w:sz w:val="22"/>
          <w:szCs w:val="22"/>
        </w:rPr>
        <w:t>or to restrict freedom of movement of journalists and human rights investigators within the State party (including to conflict-affected locations, the sites of natural disasters and locations where there are allegations of human rights abuses). States parties should recognize and respect that element of the right of freedom of expression that embraces the limited journalistic privilege not to disclose information sources.</w:t>
      </w:r>
      <w:r w:rsidR="005052F7">
        <w:rPr>
          <w:rStyle w:val="FootnoteReference"/>
          <w:rFonts w:asciiTheme="majorHAnsi" w:hAnsiTheme="majorHAnsi" w:cs="Times New Roman"/>
          <w:i/>
          <w:sz w:val="22"/>
          <w:szCs w:val="22"/>
        </w:rPr>
        <w:footnoteReference w:id="16"/>
      </w:r>
      <w:r w:rsidRPr="00D727BE">
        <w:rPr>
          <w:rFonts w:asciiTheme="majorHAnsi" w:hAnsiTheme="majorHAnsi" w:cs="Times New Roman"/>
          <w:i/>
          <w:sz w:val="22"/>
          <w:szCs w:val="22"/>
        </w:rPr>
        <w:t>”</w:t>
      </w:r>
      <w:r w:rsidR="00136F69" w:rsidRPr="00D727BE">
        <w:rPr>
          <w:rFonts w:asciiTheme="majorHAnsi" w:hAnsiTheme="majorHAnsi" w:cs="Times New Roman"/>
          <w:i/>
          <w:position w:val="10"/>
          <w:sz w:val="22"/>
          <w:szCs w:val="22"/>
        </w:rPr>
        <w:t xml:space="preserve"> </w:t>
      </w:r>
    </w:p>
    <w:p w14:paraId="2FF91926" w14:textId="7CB178AE" w:rsidR="00E22777" w:rsidRPr="00D727BE" w:rsidRDefault="00536DFE" w:rsidP="00E22777">
      <w:pPr>
        <w:widowControl w:val="0"/>
        <w:autoSpaceDE w:val="0"/>
        <w:autoSpaceDN w:val="0"/>
        <w:adjustRightInd w:val="0"/>
        <w:spacing w:after="240"/>
        <w:jc w:val="both"/>
        <w:rPr>
          <w:rFonts w:asciiTheme="majorHAnsi" w:hAnsiTheme="majorHAnsi" w:cs="Times New Roman"/>
          <w:sz w:val="22"/>
          <w:szCs w:val="22"/>
        </w:rPr>
      </w:pPr>
      <w:r w:rsidRPr="00F43897">
        <w:rPr>
          <w:rFonts w:asciiTheme="majorHAnsi" w:hAnsiTheme="majorHAnsi" w:cs="Times New Roman"/>
          <w:b/>
          <w:sz w:val="22"/>
          <w:szCs w:val="22"/>
        </w:rPr>
        <w:t>Fourth,</w:t>
      </w:r>
      <w:r w:rsidRPr="00D727BE">
        <w:rPr>
          <w:rFonts w:asciiTheme="majorHAnsi" w:hAnsiTheme="majorHAnsi" w:cs="Times New Roman"/>
          <w:sz w:val="22"/>
          <w:szCs w:val="22"/>
        </w:rPr>
        <w:t xml:space="preserve"> the HRC considered the extent to which terrorism and counter-terrorism may constitute legitimate grounds for restricting freedom of expression</w:t>
      </w:r>
      <w:r w:rsidR="00E22777" w:rsidRPr="00D727BE">
        <w:rPr>
          <w:rFonts w:asciiTheme="majorHAnsi" w:hAnsiTheme="majorHAnsi" w:cs="Times New Roman"/>
          <w:sz w:val="22"/>
          <w:szCs w:val="22"/>
        </w:rPr>
        <w:t xml:space="preserve">. It concluded that: </w:t>
      </w:r>
    </w:p>
    <w:p w14:paraId="73AD8EA9" w14:textId="165C4145" w:rsidR="002321CE" w:rsidRPr="00D727BE" w:rsidRDefault="00E22777" w:rsidP="0038014C">
      <w:pPr>
        <w:widowControl w:val="0"/>
        <w:autoSpaceDE w:val="0"/>
        <w:autoSpaceDN w:val="0"/>
        <w:adjustRightInd w:val="0"/>
        <w:spacing w:after="240"/>
        <w:jc w:val="both"/>
        <w:rPr>
          <w:rFonts w:asciiTheme="majorHAnsi" w:hAnsiTheme="majorHAnsi" w:cs="Times"/>
          <w:sz w:val="22"/>
          <w:szCs w:val="22"/>
        </w:rPr>
      </w:pPr>
      <w:r w:rsidRPr="00D727BE">
        <w:rPr>
          <w:rFonts w:asciiTheme="majorHAnsi" w:hAnsiTheme="majorHAnsi" w:cs="Times New Roman"/>
          <w:i/>
          <w:sz w:val="22"/>
          <w:szCs w:val="22"/>
        </w:rPr>
        <w:t>“</w:t>
      </w:r>
      <w:r w:rsidR="00136F69" w:rsidRPr="00D727BE">
        <w:rPr>
          <w:rFonts w:asciiTheme="majorHAnsi" w:hAnsiTheme="majorHAnsi" w:cs="Times New Roman"/>
          <w:i/>
          <w:sz w:val="22"/>
          <w:szCs w:val="22"/>
        </w:rPr>
        <w:t>Such offences as “encouragement of terrorism”</w:t>
      </w:r>
      <w:r w:rsidR="00136F69" w:rsidRPr="00D727BE">
        <w:rPr>
          <w:rFonts w:asciiTheme="majorHAnsi" w:hAnsiTheme="majorHAnsi" w:cs="Times New Roman"/>
          <w:i/>
          <w:position w:val="10"/>
          <w:sz w:val="22"/>
          <w:szCs w:val="22"/>
        </w:rPr>
        <w:t xml:space="preserve"> </w:t>
      </w:r>
      <w:r w:rsidR="00136F69" w:rsidRPr="00D727BE">
        <w:rPr>
          <w:rFonts w:asciiTheme="majorHAnsi" w:hAnsiTheme="majorHAnsi" w:cs="Times New Roman"/>
          <w:i/>
          <w:sz w:val="22"/>
          <w:szCs w:val="22"/>
        </w:rPr>
        <w:t>and “extremist activity”</w:t>
      </w:r>
      <w:r w:rsidR="00136F69" w:rsidRPr="00D727BE">
        <w:rPr>
          <w:rFonts w:asciiTheme="majorHAnsi" w:hAnsiTheme="majorHAnsi" w:cs="Times New Roman"/>
          <w:i/>
          <w:position w:val="10"/>
          <w:sz w:val="22"/>
          <w:szCs w:val="22"/>
        </w:rPr>
        <w:t xml:space="preserve"> </w:t>
      </w:r>
      <w:r w:rsidR="00136F69" w:rsidRPr="00D727BE">
        <w:rPr>
          <w:rFonts w:asciiTheme="majorHAnsi" w:hAnsiTheme="majorHAnsi" w:cs="Times New Roman"/>
          <w:i/>
          <w:sz w:val="22"/>
          <w:szCs w:val="22"/>
        </w:rPr>
        <w:t>as well as offences of “praising”, “glorifying”, or “justifying” terrorism, should be clearly defined to ensure that they do not lead to unnecessary or disproportionate interference with freedom of expression. Excessive restrictions on access to information must also be avoided. The media plays a crucial role in informing the public about acts of terrorism and its capacity to operate should not be unduly restricted. In this regard, journalists should not be penalized for carrying o</w:t>
      </w:r>
      <w:r w:rsidRPr="00D727BE">
        <w:rPr>
          <w:rFonts w:asciiTheme="majorHAnsi" w:hAnsiTheme="majorHAnsi" w:cs="Times New Roman"/>
          <w:i/>
          <w:sz w:val="22"/>
          <w:szCs w:val="22"/>
        </w:rPr>
        <w:t>ut their legitimate activities.</w:t>
      </w:r>
      <w:r w:rsidR="005052F7">
        <w:rPr>
          <w:rStyle w:val="FootnoteReference"/>
          <w:rFonts w:asciiTheme="majorHAnsi" w:hAnsiTheme="majorHAnsi" w:cs="Times New Roman"/>
          <w:i/>
          <w:sz w:val="22"/>
          <w:szCs w:val="22"/>
        </w:rPr>
        <w:footnoteReference w:id="17"/>
      </w:r>
      <w:r w:rsidRPr="00D727BE">
        <w:rPr>
          <w:rFonts w:asciiTheme="majorHAnsi" w:hAnsiTheme="majorHAnsi" w:cs="Times New Roman"/>
          <w:sz w:val="22"/>
          <w:szCs w:val="22"/>
        </w:rPr>
        <w:t>“</w:t>
      </w:r>
      <w:r w:rsidR="0038014C" w:rsidRPr="00D727BE">
        <w:rPr>
          <w:rFonts w:asciiTheme="majorHAnsi" w:hAnsiTheme="majorHAnsi" w:cs="Times"/>
          <w:sz w:val="22"/>
          <w:szCs w:val="22"/>
        </w:rPr>
        <w:t xml:space="preserve"> </w:t>
      </w:r>
    </w:p>
    <w:p w14:paraId="149FB16F" w14:textId="275A96AC" w:rsidR="00B17125" w:rsidRPr="00B17125" w:rsidRDefault="00842C0D" w:rsidP="00B17125">
      <w:pPr>
        <w:rPr>
          <w:rFonts w:asciiTheme="majorHAnsi" w:hAnsiTheme="majorHAnsi"/>
          <w:b/>
          <w:color w:val="000000"/>
          <w:sz w:val="22"/>
          <w:szCs w:val="22"/>
          <w:u w:val="single"/>
          <w:lang w:val="en-GB"/>
        </w:rPr>
      </w:pPr>
      <w:r w:rsidRPr="001C7A13">
        <w:rPr>
          <w:rFonts w:asciiTheme="majorHAnsi" w:hAnsiTheme="majorHAnsi"/>
          <w:b/>
          <w:color w:val="000000"/>
          <w:sz w:val="22"/>
          <w:szCs w:val="22"/>
          <w:lang w:val="en-GB"/>
        </w:rPr>
        <w:t xml:space="preserve">I.2.2 </w:t>
      </w:r>
      <w:r w:rsidR="00B17125" w:rsidRPr="001C7A13">
        <w:rPr>
          <w:rFonts w:asciiTheme="majorHAnsi" w:hAnsiTheme="majorHAnsi"/>
          <w:b/>
          <w:color w:val="000000"/>
          <w:sz w:val="22"/>
          <w:szCs w:val="22"/>
          <w:lang w:val="en-GB"/>
        </w:rPr>
        <w:t>Article 20</w:t>
      </w:r>
      <w:r w:rsidR="009C57C2" w:rsidRPr="001C7A13">
        <w:rPr>
          <w:rFonts w:asciiTheme="majorHAnsi" w:hAnsiTheme="majorHAnsi"/>
          <w:b/>
          <w:color w:val="000000"/>
          <w:sz w:val="22"/>
          <w:szCs w:val="22"/>
          <w:lang w:val="en-GB"/>
        </w:rPr>
        <w:t>, ICCPE</w:t>
      </w:r>
    </w:p>
    <w:p w14:paraId="78A81FCD" w14:textId="77777777" w:rsidR="00B17125" w:rsidRDefault="00B17125" w:rsidP="00B17125">
      <w:pPr>
        <w:rPr>
          <w:rFonts w:asciiTheme="majorHAnsi" w:hAnsiTheme="majorHAnsi"/>
          <w:color w:val="000000"/>
          <w:sz w:val="22"/>
          <w:szCs w:val="22"/>
          <w:lang w:val="en-GB"/>
        </w:rPr>
      </w:pPr>
    </w:p>
    <w:p w14:paraId="2041BA95" w14:textId="3C675FA3" w:rsidR="00B17125" w:rsidRPr="005052F7" w:rsidRDefault="00B17125" w:rsidP="005052F7">
      <w:pPr>
        <w:rPr>
          <w:rFonts w:asciiTheme="majorHAnsi" w:hAnsiTheme="majorHAnsi"/>
          <w:color w:val="000000"/>
          <w:sz w:val="22"/>
          <w:szCs w:val="22"/>
          <w:lang w:val="en-GB"/>
        </w:rPr>
      </w:pPr>
      <w:r w:rsidRPr="00D57409">
        <w:rPr>
          <w:rFonts w:asciiTheme="majorHAnsi" w:hAnsiTheme="majorHAnsi"/>
          <w:color w:val="000000"/>
          <w:sz w:val="22"/>
          <w:szCs w:val="22"/>
          <w:lang w:val="en-GB"/>
        </w:rPr>
        <w:t>Article 19 allows state parties to restrict speech (provided the above conditions are met) but does not require them to do so.  Article 20</w:t>
      </w:r>
      <w:r>
        <w:rPr>
          <w:rFonts w:asciiTheme="majorHAnsi" w:hAnsiTheme="majorHAnsi"/>
          <w:color w:val="000000"/>
          <w:sz w:val="22"/>
          <w:szCs w:val="22"/>
          <w:lang w:val="en-GB"/>
        </w:rPr>
        <w:t>, o</w:t>
      </w:r>
      <w:r w:rsidRPr="00D57409">
        <w:rPr>
          <w:rFonts w:asciiTheme="majorHAnsi" w:hAnsiTheme="majorHAnsi"/>
          <w:color w:val="000000"/>
          <w:sz w:val="22"/>
          <w:szCs w:val="22"/>
          <w:lang w:val="en-GB"/>
        </w:rPr>
        <w:t xml:space="preserve">n the other hand, prohibits certain expression altogether. The article places an obligation upon governments to prohibit </w:t>
      </w:r>
      <w:r w:rsidR="005052F7">
        <w:rPr>
          <w:rFonts w:asciiTheme="majorHAnsi" w:hAnsiTheme="majorHAnsi"/>
          <w:color w:val="000000"/>
          <w:sz w:val="22"/>
          <w:szCs w:val="22"/>
          <w:lang w:val="en-GB"/>
        </w:rPr>
        <w:t xml:space="preserve">by law </w:t>
      </w:r>
      <w:r w:rsidR="005052F7">
        <w:rPr>
          <w:rFonts w:asciiTheme="majorHAnsi" w:hAnsiTheme="majorHAnsi"/>
          <w:i/>
          <w:color w:val="000000"/>
          <w:sz w:val="22"/>
          <w:szCs w:val="22"/>
        </w:rPr>
        <w:t>“a</w:t>
      </w:r>
      <w:r w:rsidRPr="00D57409">
        <w:rPr>
          <w:rFonts w:asciiTheme="majorHAnsi" w:hAnsiTheme="majorHAnsi"/>
          <w:i/>
          <w:color w:val="000000"/>
          <w:sz w:val="22"/>
          <w:szCs w:val="22"/>
        </w:rPr>
        <w:t xml:space="preserve">ny advocacy of national, racial or religious hatred that constitutes incitement to discrimination, hostility or violence.” </w:t>
      </w:r>
    </w:p>
    <w:p w14:paraId="45D10069" w14:textId="77777777" w:rsidR="002F0AFF" w:rsidRDefault="002F0AFF" w:rsidP="002F0AFF">
      <w:pPr>
        <w:widowControl w:val="0"/>
        <w:autoSpaceDE w:val="0"/>
        <w:autoSpaceDN w:val="0"/>
        <w:adjustRightInd w:val="0"/>
        <w:spacing w:after="240"/>
        <w:jc w:val="both"/>
        <w:rPr>
          <w:rFonts w:asciiTheme="majorHAnsi" w:hAnsiTheme="majorHAnsi"/>
          <w:b/>
          <w:i/>
          <w:sz w:val="22"/>
          <w:szCs w:val="22"/>
        </w:rPr>
      </w:pPr>
    </w:p>
    <w:p w14:paraId="67109BF2" w14:textId="77777777" w:rsidR="002F0AFF" w:rsidRPr="000B5A69" w:rsidRDefault="002F0AFF" w:rsidP="002F0AFF">
      <w:pPr>
        <w:widowControl w:val="0"/>
        <w:autoSpaceDE w:val="0"/>
        <w:autoSpaceDN w:val="0"/>
        <w:adjustRightInd w:val="0"/>
        <w:spacing w:after="240"/>
        <w:jc w:val="both"/>
        <w:rPr>
          <w:rFonts w:asciiTheme="majorHAnsi" w:hAnsiTheme="majorHAnsi"/>
          <w:b/>
          <w:i/>
          <w:sz w:val="22"/>
          <w:szCs w:val="22"/>
        </w:rPr>
      </w:pPr>
      <w:r w:rsidRPr="000B5A69">
        <w:rPr>
          <w:rFonts w:asciiTheme="majorHAnsi" w:hAnsiTheme="majorHAnsi"/>
          <w:b/>
          <w:i/>
          <w:sz w:val="22"/>
          <w:szCs w:val="22"/>
        </w:rPr>
        <w:t>Compatibility of article 19 and article 20</w:t>
      </w:r>
    </w:p>
    <w:p w14:paraId="033B7347" w14:textId="77777777" w:rsidR="002F0AFF" w:rsidRDefault="002F0AFF" w:rsidP="002F0AFF">
      <w:pPr>
        <w:widowControl w:val="0"/>
        <w:autoSpaceDE w:val="0"/>
        <w:autoSpaceDN w:val="0"/>
        <w:adjustRightInd w:val="0"/>
        <w:spacing w:after="240"/>
        <w:jc w:val="both"/>
        <w:rPr>
          <w:rFonts w:asciiTheme="majorHAnsi" w:hAnsiTheme="majorHAnsi" w:cs="Times New Roman"/>
          <w:sz w:val="22"/>
          <w:szCs w:val="22"/>
        </w:rPr>
      </w:pPr>
      <w:r w:rsidRPr="000B6A56">
        <w:rPr>
          <w:rFonts w:asciiTheme="majorHAnsi" w:hAnsiTheme="majorHAnsi"/>
          <w:sz w:val="22"/>
          <w:szCs w:val="22"/>
        </w:rPr>
        <w:t>The H</w:t>
      </w:r>
      <w:r>
        <w:rPr>
          <w:rFonts w:asciiTheme="majorHAnsi" w:hAnsiTheme="majorHAnsi"/>
          <w:sz w:val="22"/>
          <w:szCs w:val="22"/>
        </w:rPr>
        <w:t xml:space="preserve">uman </w:t>
      </w:r>
      <w:r w:rsidRPr="000B6A56">
        <w:rPr>
          <w:rFonts w:asciiTheme="majorHAnsi" w:hAnsiTheme="majorHAnsi"/>
          <w:sz w:val="22"/>
          <w:szCs w:val="22"/>
        </w:rPr>
        <w:t>R</w:t>
      </w:r>
      <w:r>
        <w:rPr>
          <w:rFonts w:asciiTheme="majorHAnsi" w:hAnsiTheme="majorHAnsi"/>
          <w:sz w:val="22"/>
          <w:szCs w:val="22"/>
        </w:rPr>
        <w:t xml:space="preserve">ights </w:t>
      </w:r>
      <w:r w:rsidRPr="000B6A56">
        <w:rPr>
          <w:rFonts w:asciiTheme="majorHAnsi" w:hAnsiTheme="majorHAnsi"/>
          <w:sz w:val="22"/>
          <w:szCs w:val="22"/>
        </w:rPr>
        <w:t>C</w:t>
      </w:r>
      <w:r>
        <w:rPr>
          <w:rFonts w:asciiTheme="majorHAnsi" w:hAnsiTheme="majorHAnsi"/>
          <w:sz w:val="22"/>
          <w:szCs w:val="22"/>
        </w:rPr>
        <w:t>ommittee</w:t>
      </w:r>
      <w:r w:rsidRPr="000B6A56">
        <w:rPr>
          <w:rFonts w:asciiTheme="majorHAnsi" w:hAnsiTheme="majorHAnsi"/>
          <w:sz w:val="22"/>
          <w:szCs w:val="22"/>
        </w:rPr>
        <w:t xml:space="preserve"> has stated in General Comment 34 that “</w:t>
      </w:r>
      <w:r w:rsidRPr="004847E4">
        <w:rPr>
          <w:rFonts w:asciiTheme="majorHAnsi" w:hAnsiTheme="majorHAnsi"/>
          <w:i/>
          <w:sz w:val="22"/>
          <w:szCs w:val="22"/>
        </w:rPr>
        <w:t>A</w:t>
      </w:r>
      <w:r w:rsidRPr="004847E4">
        <w:rPr>
          <w:rFonts w:asciiTheme="majorHAnsi" w:hAnsiTheme="majorHAnsi" w:cs="Times New Roman"/>
          <w:i/>
          <w:sz w:val="22"/>
          <w:szCs w:val="22"/>
        </w:rPr>
        <w:t>rticles 19 and 20 are compatible with and complement each other</w:t>
      </w:r>
      <w:r>
        <w:rPr>
          <w:rFonts w:asciiTheme="majorHAnsi" w:hAnsiTheme="majorHAnsi" w:cs="Times New Roman"/>
          <w:i/>
          <w:sz w:val="22"/>
          <w:szCs w:val="22"/>
        </w:rPr>
        <w:t>…</w:t>
      </w:r>
      <w:r w:rsidRPr="004847E4">
        <w:rPr>
          <w:rFonts w:asciiTheme="majorHAnsi" w:hAnsiTheme="majorHAnsi" w:cs="Times New Roman"/>
          <w:i/>
          <w:sz w:val="22"/>
          <w:szCs w:val="22"/>
        </w:rPr>
        <w:t xml:space="preserve"> As such, a limitation that is justified on the basis of article 20 must also comply with article 19, paragraph 3</w:t>
      </w:r>
      <w:r>
        <w:rPr>
          <w:rStyle w:val="FootnoteReference"/>
          <w:rFonts w:asciiTheme="majorHAnsi" w:hAnsiTheme="majorHAnsi" w:cs="Times New Roman"/>
          <w:sz w:val="22"/>
          <w:szCs w:val="22"/>
        </w:rPr>
        <w:footnoteReference w:id="18"/>
      </w:r>
      <w:r w:rsidRPr="000B6A56">
        <w:rPr>
          <w:rFonts w:asciiTheme="majorHAnsi" w:hAnsiTheme="majorHAnsi" w:cs="Times New Roman"/>
          <w:sz w:val="22"/>
          <w:szCs w:val="22"/>
        </w:rPr>
        <w:t xml:space="preserve">.”  </w:t>
      </w:r>
    </w:p>
    <w:p w14:paraId="1AC20E89" w14:textId="77777777" w:rsidR="002F0AFF" w:rsidRDefault="002F0AFF" w:rsidP="002F0AFF">
      <w:pPr>
        <w:widowControl w:val="0"/>
        <w:autoSpaceDE w:val="0"/>
        <w:autoSpaceDN w:val="0"/>
        <w:adjustRightInd w:val="0"/>
        <w:spacing w:after="240"/>
        <w:jc w:val="both"/>
        <w:rPr>
          <w:rFonts w:asciiTheme="majorHAnsi" w:hAnsiTheme="majorHAnsi" w:cs="Times New Roman"/>
          <w:sz w:val="22"/>
          <w:szCs w:val="22"/>
        </w:rPr>
      </w:pPr>
      <w:r>
        <w:rPr>
          <w:rFonts w:asciiTheme="majorHAnsi" w:hAnsiTheme="majorHAnsi" w:cs="Times New Roman"/>
          <w:sz w:val="22"/>
          <w:szCs w:val="22"/>
        </w:rPr>
        <w:t xml:space="preserve">This means that any restrictions related to the prohibition of incitement to violence or hostility must meet the three-part test. </w:t>
      </w:r>
    </w:p>
    <w:p w14:paraId="21B469E7" w14:textId="5B08347D" w:rsidR="002F0AFF" w:rsidRPr="00E6215F" w:rsidRDefault="002F0AFF" w:rsidP="002F0AFF">
      <w:pPr>
        <w:rPr>
          <w:rFonts w:asciiTheme="majorHAnsi" w:hAnsiTheme="majorHAnsi"/>
          <w:b/>
          <w:i/>
          <w:sz w:val="22"/>
          <w:szCs w:val="22"/>
        </w:rPr>
      </w:pPr>
      <w:r w:rsidRPr="00E6215F">
        <w:rPr>
          <w:rFonts w:asciiTheme="majorHAnsi" w:hAnsiTheme="majorHAnsi"/>
          <w:b/>
          <w:i/>
          <w:sz w:val="22"/>
          <w:szCs w:val="22"/>
        </w:rPr>
        <w:t>Definition of key terms:</w:t>
      </w:r>
    </w:p>
    <w:p w14:paraId="214F7C04" w14:textId="77777777" w:rsidR="002F0AFF" w:rsidRPr="00E6215F" w:rsidRDefault="002F0AFF" w:rsidP="002F0AFF">
      <w:pPr>
        <w:rPr>
          <w:rFonts w:asciiTheme="majorHAnsi" w:hAnsiTheme="majorHAnsi"/>
          <w:sz w:val="22"/>
          <w:szCs w:val="22"/>
        </w:rPr>
      </w:pPr>
    </w:p>
    <w:p w14:paraId="015568AB" w14:textId="0378125E" w:rsidR="002F0AFF" w:rsidRPr="00E6215F" w:rsidRDefault="002F0AFF" w:rsidP="002F0AFF">
      <w:pPr>
        <w:rPr>
          <w:rFonts w:asciiTheme="majorHAnsi" w:hAnsiTheme="majorHAnsi"/>
          <w:bCs/>
          <w:iCs/>
          <w:sz w:val="22"/>
          <w:szCs w:val="22"/>
          <w:lang w:val="en-GB"/>
        </w:rPr>
      </w:pPr>
      <w:r w:rsidRPr="00E6215F">
        <w:rPr>
          <w:rFonts w:asciiTheme="majorHAnsi" w:hAnsiTheme="majorHAnsi"/>
          <w:bCs/>
          <w:iCs/>
          <w:sz w:val="22"/>
          <w:szCs w:val="22"/>
          <w:lang w:val="en-GB"/>
        </w:rPr>
        <w:t xml:space="preserve">On the basis of its extensive review of the jurisprudence, </w:t>
      </w:r>
      <w:r w:rsidR="007902C2">
        <w:rPr>
          <w:rFonts w:asciiTheme="majorHAnsi" w:hAnsiTheme="majorHAnsi"/>
          <w:bCs/>
          <w:iCs/>
          <w:sz w:val="22"/>
          <w:szCs w:val="22"/>
          <w:lang w:val="en-GB"/>
        </w:rPr>
        <w:t xml:space="preserve">the human rights NGO </w:t>
      </w:r>
      <w:r w:rsidRPr="00E6215F">
        <w:rPr>
          <w:rFonts w:asciiTheme="majorHAnsi" w:hAnsiTheme="majorHAnsi"/>
          <w:bCs/>
          <w:iCs/>
          <w:sz w:val="22"/>
          <w:szCs w:val="22"/>
          <w:lang w:val="en-GB"/>
        </w:rPr>
        <w:t>ARTICLE 19 offers the following definitions of the key terms</w:t>
      </w:r>
      <w:r w:rsidR="007902C2">
        <w:rPr>
          <w:rStyle w:val="FootnoteReference"/>
          <w:rFonts w:asciiTheme="majorHAnsi" w:hAnsiTheme="majorHAnsi"/>
          <w:bCs/>
          <w:iCs/>
          <w:sz w:val="22"/>
          <w:szCs w:val="22"/>
          <w:lang w:val="en-GB"/>
        </w:rPr>
        <w:footnoteReference w:id="19"/>
      </w:r>
      <w:r w:rsidR="007902C2">
        <w:rPr>
          <w:rFonts w:asciiTheme="majorHAnsi" w:hAnsiTheme="majorHAnsi"/>
          <w:bCs/>
          <w:iCs/>
          <w:sz w:val="22"/>
          <w:szCs w:val="22"/>
          <w:lang w:val="en-GB"/>
        </w:rPr>
        <w:t>:</w:t>
      </w:r>
    </w:p>
    <w:p w14:paraId="449D18F9" w14:textId="77777777" w:rsidR="002F0AFF" w:rsidRDefault="002F0AFF" w:rsidP="002F0AFF">
      <w:pPr>
        <w:rPr>
          <w:rFonts w:asciiTheme="majorHAnsi" w:hAnsiTheme="majorHAnsi"/>
          <w:bCs/>
          <w:i/>
          <w:iCs/>
          <w:sz w:val="22"/>
          <w:szCs w:val="22"/>
          <w:lang w:val="en-GB"/>
        </w:rPr>
      </w:pPr>
    </w:p>
    <w:p w14:paraId="59D3F2C8" w14:textId="266C025C" w:rsidR="002F0AFF" w:rsidRPr="00E6215F" w:rsidRDefault="0079321B" w:rsidP="002F0AFF">
      <w:pPr>
        <w:pStyle w:val="ListParagraph"/>
        <w:numPr>
          <w:ilvl w:val="0"/>
          <w:numId w:val="13"/>
        </w:numPr>
        <w:rPr>
          <w:rFonts w:asciiTheme="majorHAnsi" w:hAnsiTheme="majorHAnsi"/>
          <w:sz w:val="22"/>
          <w:szCs w:val="22"/>
        </w:rPr>
      </w:pPr>
      <w:r>
        <w:rPr>
          <w:rFonts w:asciiTheme="majorHAnsi" w:hAnsiTheme="majorHAnsi"/>
          <w:bCs/>
          <w:i/>
          <w:iCs/>
          <w:sz w:val="22"/>
          <w:szCs w:val="22"/>
          <w:lang w:val="en-GB"/>
        </w:rPr>
        <w:t>“</w:t>
      </w:r>
      <w:r w:rsidR="002F0AFF" w:rsidRPr="00E6215F">
        <w:rPr>
          <w:rFonts w:asciiTheme="majorHAnsi" w:hAnsiTheme="majorHAnsi"/>
          <w:bCs/>
          <w:i/>
          <w:iCs/>
          <w:sz w:val="22"/>
          <w:szCs w:val="22"/>
          <w:lang w:val="en-GB"/>
        </w:rPr>
        <w:t>Violence</w:t>
      </w:r>
      <w:r w:rsidR="002F0AFF" w:rsidRPr="00E6215F">
        <w:rPr>
          <w:rFonts w:asciiTheme="majorHAnsi" w:hAnsiTheme="majorHAnsi"/>
          <w:bCs/>
          <w:sz w:val="22"/>
          <w:szCs w:val="22"/>
          <w:lang w:val="en-GB"/>
        </w:rPr>
        <w:t xml:space="preserve"> </w:t>
      </w:r>
      <w:r w:rsidR="002F0AFF" w:rsidRPr="00E6215F">
        <w:rPr>
          <w:rFonts w:asciiTheme="majorHAnsi" w:hAnsiTheme="majorHAnsi"/>
          <w:sz w:val="22"/>
          <w:szCs w:val="22"/>
          <w:lang w:val="en-GB"/>
        </w:rPr>
        <w:t>shall be understood as the intentional use of physical force or power against another person, or against a group or community that either results in or has a high likelihood of resulting in injury, death, psychological harm, mal development, or deprivation</w:t>
      </w:r>
      <w:r w:rsidR="007902C2">
        <w:rPr>
          <w:rStyle w:val="FootnoteReference"/>
          <w:rFonts w:asciiTheme="majorHAnsi" w:hAnsiTheme="majorHAnsi"/>
          <w:sz w:val="22"/>
          <w:szCs w:val="22"/>
          <w:lang w:val="en-GB"/>
        </w:rPr>
        <w:footnoteReference w:id="20"/>
      </w:r>
      <w:r w:rsidR="002F0AFF" w:rsidRPr="00E6215F">
        <w:rPr>
          <w:rFonts w:asciiTheme="majorHAnsi" w:hAnsiTheme="majorHAnsi"/>
          <w:sz w:val="22"/>
          <w:szCs w:val="22"/>
          <w:lang w:val="en-GB"/>
        </w:rPr>
        <w:t xml:space="preserve"> </w:t>
      </w:r>
    </w:p>
    <w:p w14:paraId="3315BE4B" w14:textId="77777777" w:rsidR="002F0AFF" w:rsidRPr="00E6215F" w:rsidRDefault="002F0AFF" w:rsidP="002F0AFF">
      <w:pPr>
        <w:rPr>
          <w:rFonts w:asciiTheme="majorHAnsi" w:hAnsiTheme="majorHAnsi"/>
          <w:bCs/>
          <w:i/>
          <w:iCs/>
          <w:sz w:val="22"/>
          <w:szCs w:val="22"/>
          <w:lang w:val="en-GB"/>
        </w:rPr>
      </w:pPr>
    </w:p>
    <w:p w14:paraId="643222B4" w14:textId="6E94D4C9" w:rsidR="002F0AFF" w:rsidRPr="00E6215F" w:rsidRDefault="008816FE" w:rsidP="002F0AFF">
      <w:pPr>
        <w:pStyle w:val="ListParagraph"/>
        <w:numPr>
          <w:ilvl w:val="0"/>
          <w:numId w:val="13"/>
        </w:numPr>
        <w:rPr>
          <w:rFonts w:asciiTheme="majorHAnsi" w:hAnsiTheme="majorHAnsi"/>
          <w:sz w:val="22"/>
          <w:szCs w:val="22"/>
        </w:rPr>
      </w:pPr>
      <w:r>
        <w:rPr>
          <w:rFonts w:asciiTheme="majorHAnsi" w:hAnsiTheme="majorHAnsi"/>
          <w:bCs/>
          <w:i/>
          <w:iCs/>
          <w:sz w:val="22"/>
          <w:szCs w:val="22"/>
          <w:lang w:val="en-GB"/>
        </w:rPr>
        <w:t>“</w:t>
      </w:r>
      <w:r w:rsidR="002F0AFF" w:rsidRPr="00E6215F">
        <w:rPr>
          <w:rFonts w:asciiTheme="majorHAnsi" w:hAnsiTheme="majorHAnsi"/>
          <w:bCs/>
          <w:i/>
          <w:iCs/>
          <w:sz w:val="22"/>
          <w:szCs w:val="22"/>
          <w:lang w:val="en-GB"/>
        </w:rPr>
        <w:t>Hostility</w:t>
      </w:r>
      <w:r w:rsidR="002F0AFF" w:rsidRPr="00E6215F">
        <w:rPr>
          <w:rFonts w:asciiTheme="majorHAnsi" w:hAnsiTheme="majorHAnsi"/>
          <w:i/>
          <w:iCs/>
          <w:sz w:val="22"/>
          <w:szCs w:val="22"/>
          <w:lang w:val="en-GB"/>
        </w:rPr>
        <w:t xml:space="preserve"> </w:t>
      </w:r>
      <w:r w:rsidR="002F0AFF" w:rsidRPr="00E6215F">
        <w:rPr>
          <w:rFonts w:asciiTheme="majorHAnsi" w:hAnsiTheme="majorHAnsi"/>
          <w:sz w:val="22"/>
          <w:szCs w:val="22"/>
          <w:lang w:val="en-GB"/>
        </w:rPr>
        <w:t xml:space="preserve">implies a manifested action – it is not just a state of mind, but it implies a state of mind, which is acted upon. In this case, hostility can be defined as the manifestation of hatred – that is the manifestation of </w:t>
      </w:r>
      <w:r w:rsidR="002F0AFF" w:rsidRPr="00E6215F">
        <w:rPr>
          <w:rFonts w:asciiTheme="majorHAnsi" w:hAnsiTheme="majorHAnsi"/>
          <w:sz w:val="22"/>
          <w:szCs w:val="22"/>
        </w:rPr>
        <w:t>“</w:t>
      </w:r>
      <w:r w:rsidR="002F0AFF" w:rsidRPr="00E6215F">
        <w:rPr>
          <w:rFonts w:asciiTheme="majorHAnsi" w:hAnsiTheme="majorHAnsi"/>
          <w:sz w:val="22"/>
          <w:szCs w:val="22"/>
          <w:lang w:val="en-GB"/>
        </w:rPr>
        <w:t>intense and irrational emotions of opprobrium, enmity and detestation towards the target group.</w:t>
      </w:r>
      <w:r>
        <w:rPr>
          <w:rStyle w:val="FootnoteReference"/>
          <w:rFonts w:asciiTheme="majorHAnsi" w:hAnsiTheme="majorHAnsi"/>
          <w:sz w:val="22"/>
          <w:szCs w:val="22"/>
          <w:lang w:val="en-GB"/>
        </w:rPr>
        <w:footnoteReference w:id="21"/>
      </w:r>
      <w:r w:rsidR="002F0AFF" w:rsidRPr="00E6215F">
        <w:rPr>
          <w:rFonts w:asciiTheme="majorHAnsi" w:hAnsiTheme="majorHAnsi"/>
          <w:sz w:val="22"/>
          <w:szCs w:val="22"/>
        </w:rPr>
        <w:t>”</w:t>
      </w:r>
    </w:p>
    <w:p w14:paraId="7E098439" w14:textId="77777777" w:rsidR="002F0AFF" w:rsidRPr="002F0AFF" w:rsidRDefault="002F0AFF" w:rsidP="00EA3516">
      <w:pPr>
        <w:pStyle w:val="NormalWeb"/>
        <w:shd w:val="clear" w:color="auto" w:fill="FFFFFF"/>
        <w:jc w:val="both"/>
        <w:rPr>
          <w:rFonts w:asciiTheme="majorHAnsi" w:hAnsiTheme="majorHAnsi"/>
          <w:b/>
          <w:i/>
          <w:color w:val="000000"/>
          <w:sz w:val="22"/>
          <w:szCs w:val="22"/>
        </w:rPr>
      </w:pPr>
      <w:r w:rsidRPr="002F0AFF">
        <w:rPr>
          <w:rFonts w:asciiTheme="majorHAnsi" w:hAnsiTheme="majorHAnsi"/>
          <w:b/>
          <w:i/>
          <w:color w:val="000000"/>
          <w:sz w:val="22"/>
          <w:szCs w:val="22"/>
        </w:rPr>
        <w:t>Incitement and Hate Speech</w:t>
      </w:r>
    </w:p>
    <w:p w14:paraId="76FC2F59" w14:textId="77777777" w:rsidR="007902C2" w:rsidRDefault="00EA3516" w:rsidP="00EA3516">
      <w:pPr>
        <w:pStyle w:val="NormalWeb"/>
        <w:shd w:val="clear" w:color="auto" w:fill="FFFFFF"/>
        <w:jc w:val="both"/>
        <w:rPr>
          <w:rFonts w:asciiTheme="majorHAnsi" w:hAnsiTheme="majorHAnsi"/>
          <w:color w:val="000000"/>
          <w:sz w:val="22"/>
          <w:szCs w:val="22"/>
        </w:rPr>
      </w:pPr>
      <w:r w:rsidRPr="00FB1DDA">
        <w:rPr>
          <w:rFonts w:asciiTheme="majorHAnsi" w:hAnsiTheme="majorHAnsi"/>
          <w:color w:val="000000"/>
          <w:sz w:val="22"/>
          <w:szCs w:val="22"/>
        </w:rPr>
        <w:t xml:space="preserve">Under international human rights law, </w:t>
      </w:r>
      <w:r>
        <w:rPr>
          <w:rFonts w:asciiTheme="majorHAnsi" w:hAnsiTheme="majorHAnsi"/>
          <w:color w:val="000000"/>
          <w:sz w:val="22"/>
          <w:szCs w:val="22"/>
        </w:rPr>
        <w:t xml:space="preserve">incitement to some forms of violence </w:t>
      </w:r>
      <w:r w:rsidRPr="00FB1DDA">
        <w:rPr>
          <w:rFonts w:asciiTheme="majorHAnsi" w:hAnsiTheme="majorHAnsi"/>
          <w:color w:val="000000"/>
          <w:sz w:val="22"/>
          <w:szCs w:val="22"/>
        </w:rPr>
        <w:t xml:space="preserve">may be prohibited </w:t>
      </w:r>
      <w:r>
        <w:rPr>
          <w:rFonts w:asciiTheme="majorHAnsi" w:hAnsiTheme="majorHAnsi"/>
          <w:color w:val="000000"/>
          <w:sz w:val="22"/>
          <w:szCs w:val="22"/>
        </w:rPr>
        <w:t xml:space="preserve">not only </w:t>
      </w:r>
      <w:r w:rsidRPr="00FB1DDA">
        <w:rPr>
          <w:rFonts w:asciiTheme="majorHAnsi" w:hAnsiTheme="majorHAnsi"/>
          <w:color w:val="000000"/>
          <w:sz w:val="22"/>
          <w:szCs w:val="22"/>
        </w:rPr>
        <w:t xml:space="preserve">under </w:t>
      </w:r>
      <w:r w:rsidRPr="00FB1DDA">
        <w:rPr>
          <w:rFonts w:asciiTheme="majorHAnsi" w:hAnsiTheme="majorHAnsi"/>
          <w:b/>
          <w:color w:val="000000"/>
          <w:sz w:val="22"/>
          <w:szCs w:val="22"/>
        </w:rPr>
        <w:t>article 20 of the ICCPR</w:t>
      </w:r>
      <w:r w:rsidRPr="00FB1DDA">
        <w:rPr>
          <w:rFonts w:asciiTheme="majorHAnsi" w:hAnsiTheme="majorHAnsi"/>
          <w:color w:val="000000"/>
          <w:sz w:val="22"/>
          <w:szCs w:val="22"/>
        </w:rPr>
        <w:t xml:space="preserve"> </w:t>
      </w:r>
      <w:r>
        <w:rPr>
          <w:rFonts w:asciiTheme="majorHAnsi" w:hAnsiTheme="majorHAnsi"/>
          <w:color w:val="000000"/>
          <w:sz w:val="22"/>
          <w:szCs w:val="22"/>
        </w:rPr>
        <w:t>but also</w:t>
      </w:r>
      <w:r w:rsidRPr="00FB1DDA">
        <w:rPr>
          <w:rFonts w:asciiTheme="majorHAnsi" w:hAnsiTheme="majorHAnsi"/>
          <w:color w:val="000000"/>
          <w:sz w:val="22"/>
          <w:szCs w:val="22"/>
        </w:rPr>
        <w:t xml:space="preserve"> under the </w:t>
      </w:r>
      <w:r w:rsidRPr="00FB1DDA">
        <w:rPr>
          <w:rFonts w:asciiTheme="majorHAnsi" w:hAnsiTheme="majorHAnsi"/>
          <w:b/>
          <w:color w:val="000000"/>
          <w:sz w:val="22"/>
          <w:szCs w:val="22"/>
        </w:rPr>
        <w:t>1948 Genocide Convention</w:t>
      </w:r>
      <w:r>
        <w:rPr>
          <w:rFonts w:asciiTheme="majorHAnsi" w:hAnsiTheme="majorHAnsi"/>
          <w:color w:val="000000"/>
          <w:sz w:val="22"/>
          <w:szCs w:val="22"/>
        </w:rPr>
        <w:t xml:space="preserve">. </w:t>
      </w:r>
      <w:r w:rsidR="00B0579B">
        <w:rPr>
          <w:rFonts w:asciiTheme="majorHAnsi" w:hAnsiTheme="majorHAnsi"/>
          <w:color w:val="000000"/>
          <w:sz w:val="22"/>
          <w:szCs w:val="22"/>
        </w:rPr>
        <w:t xml:space="preserve">Both forms of incitement to violence are linked to the existence of “hatred” and as such fall usually within the sociological category of so-called “hate speech”, which is also prohibited by Article 4 of the </w:t>
      </w:r>
      <w:r w:rsidR="00B0579B" w:rsidRPr="006B6900">
        <w:rPr>
          <w:rFonts w:asciiTheme="majorHAnsi" w:hAnsiTheme="majorHAnsi"/>
          <w:color w:val="000000"/>
          <w:sz w:val="22"/>
          <w:szCs w:val="22"/>
        </w:rPr>
        <w:t xml:space="preserve">1965 </w:t>
      </w:r>
      <w:r w:rsidR="00B0579B" w:rsidRPr="006B6900">
        <w:rPr>
          <w:rFonts w:asciiTheme="majorHAnsi" w:hAnsiTheme="majorHAnsi" w:cs="Verdana"/>
          <w:sz w:val="22"/>
          <w:szCs w:val="22"/>
        </w:rPr>
        <w:t>International Convention on the Elimination of All Forms of Racial Discrimination</w:t>
      </w:r>
      <w:r w:rsidR="00B0579B">
        <w:rPr>
          <w:rFonts w:asciiTheme="majorHAnsi" w:hAnsiTheme="majorHAnsi"/>
          <w:color w:val="000000"/>
          <w:sz w:val="22"/>
          <w:szCs w:val="22"/>
        </w:rPr>
        <w:t xml:space="preserve"> and by Article 19 of the ICCPR.  </w:t>
      </w:r>
    </w:p>
    <w:p w14:paraId="1D31AA5D" w14:textId="43B166D6" w:rsidR="00B0579B" w:rsidRDefault="00B0579B" w:rsidP="00EA3516">
      <w:pPr>
        <w:pStyle w:val="NormalWeb"/>
        <w:shd w:val="clear" w:color="auto" w:fill="FFFFFF"/>
        <w:jc w:val="both"/>
        <w:rPr>
          <w:rFonts w:asciiTheme="majorHAnsi" w:hAnsiTheme="majorHAnsi"/>
          <w:color w:val="000000"/>
          <w:sz w:val="22"/>
          <w:szCs w:val="22"/>
        </w:rPr>
      </w:pPr>
      <w:r>
        <w:rPr>
          <w:rFonts w:asciiTheme="majorHAnsi" w:hAnsiTheme="majorHAnsi"/>
          <w:color w:val="000000"/>
          <w:sz w:val="22"/>
          <w:szCs w:val="22"/>
        </w:rPr>
        <w:t xml:space="preserve">In 2005, the UN Security Council adopted </w:t>
      </w:r>
      <w:r w:rsidR="00EA3516">
        <w:rPr>
          <w:rFonts w:asciiTheme="majorHAnsi" w:hAnsiTheme="majorHAnsi"/>
          <w:color w:val="000000"/>
          <w:sz w:val="22"/>
          <w:szCs w:val="22"/>
        </w:rPr>
        <w:t xml:space="preserve">United Nations </w:t>
      </w:r>
      <w:r w:rsidR="00EA3516" w:rsidRPr="00DA0D9A">
        <w:rPr>
          <w:rFonts w:asciiTheme="majorHAnsi" w:hAnsiTheme="majorHAnsi"/>
          <w:b/>
          <w:color w:val="000000"/>
          <w:sz w:val="22"/>
          <w:szCs w:val="22"/>
        </w:rPr>
        <w:t>Security Council resolution 1624 (2005</w:t>
      </w:r>
      <w:r>
        <w:rPr>
          <w:rFonts w:asciiTheme="majorHAnsi" w:hAnsiTheme="majorHAnsi"/>
          <w:color w:val="000000"/>
          <w:sz w:val="22"/>
          <w:szCs w:val="22"/>
        </w:rPr>
        <w:t xml:space="preserve">), which </w:t>
      </w:r>
      <w:r w:rsidR="00EA3516">
        <w:rPr>
          <w:rFonts w:asciiTheme="majorHAnsi" w:hAnsiTheme="majorHAnsi"/>
          <w:color w:val="000000"/>
          <w:sz w:val="22"/>
          <w:szCs w:val="22"/>
        </w:rPr>
        <w:t xml:space="preserve">requires states to prohibit incitement to commit a terrorist act (article 1). </w:t>
      </w:r>
      <w:r>
        <w:rPr>
          <w:rFonts w:asciiTheme="majorHAnsi" w:hAnsiTheme="majorHAnsi"/>
          <w:color w:val="000000"/>
          <w:sz w:val="22"/>
          <w:szCs w:val="22"/>
        </w:rPr>
        <w:t xml:space="preserve"> The UNSC Resolution delinks incitement from hatred. </w:t>
      </w:r>
    </w:p>
    <w:p w14:paraId="59728B00" w14:textId="72916E77" w:rsidR="00EA3516" w:rsidRPr="006675FB" w:rsidRDefault="00B0579B" w:rsidP="006675FB">
      <w:pPr>
        <w:jc w:val="both"/>
        <w:rPr>
          <w:rFonts w:asciiTheme="majorHAnsi" w:hAnsiTheme="majorHAnsi"/>
          <w:color w:val="000000"/>
          <w:sz w:val="22"/>
          <w:szCs w:val="22"/>
          <w:lang w:val="en-GB"/>
        </w:rPr>
      </w:pPr>
      <w:r>
        <w:rPr>
          <w:rFonts w:asciiTheme="majorHAnsi" w:hAnsiTheme="majorHAnsi"/>
          <w:color w:val="000000"/>
          <w:sz w:val="22"/>
          <w:szCs w:val="22"/>
        </w:rPr>
        <w:t xml:space="preserve">The figure below </w:t>
      </w:r>
      <w:r w:rsidR="006675FB">
        <w:rPr>
          <w:rFonts w:asciiTheme="majorHAnsi" w:hAnsiTheme="majorHAnsi"/>
          <w:color w:val="000000"/>
          <w:sz w:val="22"/>
          <w:szCs w:val="22"/>
        </w:rPr>
        <w:t xml:space="preserve">offers a typology </w:t>
      </w:r>
      <w:r w:rsidR="006675FB">
        <w:rPr>
          <w:rFonts w:asciiTheme="majorHAnsi" w:hAnsiTheme="majorHAnsi"/>
          <w:color w:val="000000"/>
          <w:sz w:val="22"/>
          <w:szCs w:val="22"/>
          <w:lang w:val="en-GB"/>
        </w:rPr>
        <w:t>of speech that should or may be legitimately restricted because the</w:t>
      </w:r>
      <w:r w:rsidR="002F0AFF">
        <w:rPr>
          <w:rFonts w:asciiTheme="majorHAnsi" w:hAnsiTheme="majorHAnsi"/>
          <w:color w:val="000000"/>
          <w:sz w:val="22"/>
          <w:szCs w:val="22"/>
          <w:lang w:val="en-GB"/>
        </w:rPr>
        <w:t>y convey</w:t>
      </w:r>
      <w:r w:rsidR="006675FB">
        <w:rPr>
          <w:rFonts w:asciiTheme="majorHAnsi" w:hAnsiTheme="majorHAnsi"/>
          <w:color w:val="000000"/>
          <w:sz w:val="22"/>
          <w:szCs w:val="22"/>
          <w:lang w:val="en-GB"/>
        </w:rPr>
        <w:t xml:space="preserve"> some forms of “hatred” and are meant to violate or negate the rights of others (including their rights to life), national security, and more generally the rights and values conveyed by the UDHR. </w:t>
      </w:r>
    </w:p>
    <w:p w14:paraId="7F88DF3F" w14:textId="77777777" w:rsidR="00FB0A9D" w:rsidRDefault="00FB0A9D" w:rsidP="00E22777">
      <w:pPr>
        <w:widowControl w:val="0"/>
        <w:autoSpaceDE w:val="0"/>
        <w:autoSpaceDN w:val="0"/>
        <w:adjustRightInd w:val="0"/>
        <w:spacing w:after="240"/>
        <w:jc w:val="both"/>
        <w:rPr>
          <w:rFonts w:asciiTheme="majorHAnsi" w:hAnsiTheme="majorHAnsi"/>
          <w:b/>
          <w:i/>
          <w:sz w:val="22"/>
          <w:szCs w:val="22"/>
        </w:rPr>
      </w:pPr>
    </w:p>
    <w:p w14:paraId="400AE5CE" w14:textId="3976F32B" w:rsidR="00FB0A9D" w:rsidRDefault="00B53FC7" w:rsidP="00E22777">
      <w:pPr>
        <w:widowControl w:val="0"/>
        <w:autoSpaceDE w:val="0"/>
        <w:autoSpaceDN w:val="0"/>
        <w:adjustRightInd w:val="0"/>
        <w:spacing w:after="240"/>
        <w:jc w:val="both"/>
        <w:rPr>
          <w:rFonts w:asciiTheme="majorHAnsi" w:hAnsiTheme="majorHAnsi"/>
          <w:b/>
          <w:i/>
          <w:sz w:val="22"/>
          <w:szCs w:val="22"/>
        </w:rPr>
      </w:pPr>
      <w:r w:rsidRPr="00B53FC7">
        <w:rPr>
          <w:noProof/>
        </w:rPr>
        <w:drawing>
          <wp:inline distT="0" distB="0" distL="0" distR="0" wp14:anchorId="235B93A9" wp14:editId="139170D2">
            <wp:extent cx="5486400" cy="4456009"/>
            <wp:effectExtent l="50800" t="25400" r="50800" b="6540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3F64617" w14:textId="502A77E0" w:rsidR="008C58CD" w:rsidRPr="008C58CD" w:rsidRDefault="008C58CD" w:rsidP="00EA3516">
      <w:pPr>
        <w:widowControl w:val="0"/>
        <w:autoSpaceDE w:val="0"/>
        <w:autoSpaceDN w:val="0"/>
        <w:adjustRightInd w:val="0"/>
        <w:spacing w:after="240"/>
        <w:jc w:val="both"/>
        <w:rPr>
          <w:rFonts w:asciiTheme="majorHAnsi" w:hAnsiTheme="majorHAnsi"/>
          <w:i/>
          <w:sz w:val="22"/>
          <w:szCs w:val="22"/>
        </w:rPr>
      </w:pPr>
      <w:r w:rsidRPr="008C58CD">
        <w:rPr>
          <w:rFonts w:asciiTheme="majorHAnsi" w:hAnsiTheme="majorHAnsi"/>
          <w:i/>
          <w:sz w:val="22"/>
          <w:szCs w:val="22"/>
        </w:rPr>
        <w:t>Figure 1: Incitement and Hate Speech Typology</w:t>
      </w:r>
      <w:r w:rsidR="00B53FC7">
        <w:rPr>
          <w:rStyle w:val="FootnoteReference"/>
          <w:rFonts w:asciiTheme="majorHAnsi" w:hAnsiTheme="majorHAnsi"/>
          <w:i/>
          <w:sz w:val="22"/>
          <w:szCs w:val="22"/>
        </w:rPr>
        <w:footnoteReference w:id="22"/>
      </w:r>
    </w:p>
    <w:p w14:paraId="5A7D0EDC" w14:textId="496F8B91" w:rsidR="0079321B" w:rsidRDefault="002F0AFF" w:rsidP="00EA3516">
      <w:pPr>
        <w:widowControl w:val="0"/>
        <w:autoSpaceDE w:val="0"/>
        <w:autoSpaceDN w:val="0"/>
        <w:adjustRightInd w:val="0"/>
        <w:spacing w:after="240"/>
        <w:jc w:val="both"/>
        <w:rPr>
          <w:rFonts w:asciiTheme="majorHAnsi" w:hAnsiTheme="majorHAnsi"/>
          <w:sz w:val="22"/>
          <w:szCs w:val="22"/>
        </w:rPr>
      </w:pPr>
      <w:r>
        <w:rPr>
          <w:rFonts w:asciiTheme="majorHAnsi" w:hAnsiTheme="majorHAnsi"/>
          <w:sz w:val="22"/>
          <w:szCs w:val="22"/>
        </w:rPr>
        <w:t xml:space="preserve">Under international human rights law, Incitement speech thus constitutes a </w:t>
      </w:r>
      <w:r w:rsidRPr="00EB4A00">
        <w:rPr>
          <w:rFonts w:asciiTheme="majorHAnsi" w:hAnsiTheme="majorHAnsi"/>
          <w:sz w:val="22"/>
          <w:szCs w:val="22"/>
        </w:rPr>
        <w:t xml:space="preserve">particularly egregious </w:t>
      </w:r>
      <w:r>
        <w:rPr>
          <w:rFonts w:asciiTheme="majorHAnsi" w:hAnsiTheme="majorHAnsi"/>
          <w:sz w:val="22"/>
          <w:szCs w:val="22"/>
        </w:rPr>
        <w:t>form of expressions</w:t>
      </w:r>
      <w:r w:rsidRPr="00EB4A00">
        <w:rPr>
          <w:rFonts w:asciiTheme="majorHAnsi" w:hAnsiTheme="majorHAnsi"/>
          <w:sz w:val="22"/>
          <w:szCs w:val="22"/>
        </w:rPr>
        <w:t>, which are specifically named and defined and singled out for a specific intervention by the state</w:t>
      </w:r>
      <w:r>
        <w:rPr>
          <w:rFonts w:asciiTheme="majorHAnsi" w:hAnsiTheme="majorHAnsi"/>
          <w:sz w:val="22"/>
          <w:szCs w:val="22"/>
        </w:rPr>
        <w:t>. This is so because of the</w:t>
      </w:r>
      <w:r w:rsidR="00C25F5C">
        <w:rPr>
          <w:rFonts w:asciiTheme="majorHAnsi" w:hAnsiTheme="majorHAnsi"/>
          <w:sz w:val="22"/>
          <w:szCs w:val="22"/>
        </w:rPr>
        <w:t xml:space="preserve"> so-called “triangle of hatred”:</w:t>
      </w:r>
      <w:r>
        <w:rPr>
          <w:rFonts w:asciiTheme="majorHAnsi" w:hAnsiTheme="majorHAnsi"/>
          <w:sz w:val="22"/>
          <w:szCs w:val="22"/>
        </w:rPr>
        <w:t xml:space="preserve"> Incitement speech necessitates the existence of an audience ready to act against a target group. </w:t>
      </w:r>
      <w:proofErr w:type="spellStart"/>
      <w:r w:rsidR="0079321B">
        <w:rPr>
          <w:rFonts w:asciiTheme="majorHAnsi" w:hAnsiTheme="majorHAnsi"/>
          <w:sz w:val="22"/>
          <w:szCs w:val="22"/>
        </w:rPr>
        <w:t>Jeroen</w:t>
      </w:r>
      <w:proofErr w:type="spellEnd"/>
      <w:r w:rsidR="0079321B">
        <w:rPr>
          <w:rFonts w:asciiTheme="majorHAnsi" w:hAnsiTheme="majorHAnsi"/>
          <w:sz w:val="22"/>
          <w:szCs w:val="22"/>
        </w:rPr>
        <w:t xml:space="preserve"> </w:t>
      </w:r>
      <w:proofErr w:type="spellStart"/>
      <w:r w:rsidR="0079321B">
        <w:rPr>
          <w:rFonts w:asciiTheme="majorHAnsi" w:hAnsiTheme="majorHAnsi"/>
          <w:sz w:val="22"/>
          <w:szCs w:val="22"/>
        </w:rPr>
        <w:t>Temperman</w:t>
      </w:r>
      <w:proofErr w:type="spellEnd"/>
      <w:r w:rsidR="00C25F5C">
        <w:rPr>
          <w:rFonts w:asciiTheme="majorHAnsi" w:hAnsiTheme="majorHAnsi"/>
          <w:sz w:val="22"/>
          <w:szCs w:val="22"/>
        </w:rPr>
        <w:t xml:space="preserve"> represented the triangle and the various forces or factors involved as below:</w:t>
      </w:r>
      <w:r w:rsidR="0079321B">
        <w:rPr>
          <w:rStyle w:val="FootnoteReference"/>
          <w:rFonts w:asciiTheme="majorHAnsi" w:hAnsiTheme="majorHAnsi"/>
          <w:sz w:val="22"/>
          <w:szCs w:val="22"/>
        </w:rPr>
        <w:footnoteReference w:id="23"/>
      </w:r>
    </w:p>
    <w:p w14:paraId="781B9BA4" w14:textId="119585C7" w:rsidR="006675FB" w:rsidRDefault="006675FB" w:rsidP="00EA3516">
      <w:pPr>
        <w:widowControl w:val="0"/>
        <w:autoSpaceDE w:val="0"/>
        <w:autoSpaceDN w:val="0"/>
        <w:adjustRightInd w:val="0"/>
        <w:spacing w:after="240"/>
        <w:jc w:val="both"/>
        <w:rPr>
          <w:rFonts w:asciiTheme="majorHAnsi" w:hAnsiTheme="majorHAnsi"/>
          <w:sz w:val="22"/>
          <w:szCs w:val="22"/>
        </w:rPr>
      </w:pPr>
      <w:r>
        <w:rPr>
          <w:rFonts w:asciiTheme="majorHAnsi" w:hAnsiTheme="majorHAnsi"/>
          <w:noProof/>
          <w:sz w:val="22"/>
          <w:szCs w:val="22"/>
        </w:rPr>
        <w:drawing>
          <wp:inline distT="0" distB="0" distL="0" distR="0" wp14:anchorId="0992E572" wp14:editId="734BDDAB">
            <wp:extent cx="5144870" cy="273994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angle.png"/>
                    <pic:cNvPicPr/>
                  </pic:nvPicPr>
                  <pic:blipFill>
                    <a:blip r:embed="rId14">
                      <a:extLst>
                        <a:ext uri="{28A0092B-C50C-407E-A947-70E740481C1C}">
                          <a14:useLocalDpi xmlns:a14="http://schemas.microsoft.com/office/drawing/2010/main" val="0"/>
                        </a:ext>
                      </a:extLst>
                    </a:blip>
                    <a:stretch>
                      <a:fillRect/>
                    </a:stretch>
                  </pic:blipFill>
                  <pic:spPr>
                    <a:xfrm>
                      <a:off x="0" y="0"/>
                      <a:ext cx="5146707" cy="2740921"/>
                    </a:xfrm>
                    <a:prstGeom prst="rect">
                      <a:avLst/>
                    </a:prstGeom>
                  </pic:spPr>
                </pic:pic>
              </a:graphicData>
            </a:graphic>
          </wp:inline>
        </w:drawing>
      </w:r>
    </w:p>
    <w:p w14:paraId="56B6FAC7" w14:textId="574A17C9" w:rsidR="008C58CD" w:rsidRPr="008C58CD" w:rsidRDefault="008C58CD" w:rsidP="000B1B64">
      <w:pPr>
        <w:rPr>
          <w:rFonts w:asciiTheme="majorHAnsi" w:hAnsiTheme="majorHAnsi"/>
          <w:i/>
          <w:sz w:val="22"/>
          <w:szCs w:val="22"/>
        </w:rPr>
      </w:pPr>
      <w:r w:rsidRPr="008C58CD">
        <w:rPr>
          <w:rFonts w:asciiTheme="majorHAnsi" w:hAnsiTheme="majorHAnsi"/>
          <w:i/>
          <w:sz w:val="22"/>
          <w:szCs w:val="22"/>
        </w:rPr>
        <w:t>Figure 2: Incitement and The Triangle of Hatred</w:t>
      </w:r>
      <w:r w:rsidR="0079321B">
        <w:rPr>
          <w:rFonts w:asciiTheme="majorHAnsi" w:hAnsiTheme="majorHAnsi"/>
          <w:i/>
          <w:sz w:val="22"/>
          <w:szCs w:val="22"/>
        </w:rPr>
        <w:t xml:space="preserve"> </w:t>
      </w:r>
    </w:p>
    <w:p w14:paraId="44BF931D" w14:textId="77777777" w:rsidR="008C58CD" w:rsidRDefault="008C58CD" w:rsidP="000B1B64">
      <w:pPr>
        <w:rPr>
          <w:rFonts w:asciiTheme="majorHAnsi" w:hAnsiTheme="majorHAnsi"/>
          <w:b/>
          <w:i/>
          <w:sz w:val="22"/>
          <w:szCs w:val="22"/>
        </w:rPr>
      </w:pPr>
    </w:p>
    <w:p w14:paraId="2421CCCB" w14:textId="69DF792C" w:rsidR="00B53FC7" w:rsidRPr="00B53FC7" w:rsidRDefault="00B53FC7" w:rsidP="000B1B64">
      <w:pPr>
        <w:rPr>
          <w:rFonts w:asciiTheme="majorHAnsi" w:hAnsiTheme="majorHAnsi"/>
          <w:sz w:val="22"/>
          <w:szCs w:val="22"/>
        </w:rPr>
      </w:pPr>
      <w:r w:rsidRPr="00B53FC7">
        <w:rPr>
          <w:rFonts w:asciiTheme="majorHAnsi" w:hAnsiTheme="majorHAnsi"/>
          <w:sz w:val="22"/>
          <w:szCs w:val="22"/>
        </w:rPr>
        <w:t>Altogether, one may therefore distinguish between three type</w:t>
      </w:r>
      <w:r>
        <w:rPr>
          <w:rFonts w:asciiTheme="majorHAnsi" w:hAnsiTheme="majorHAnsi"/>
          <w:sz w:val="22"/>
          <w:szCs w:val="22"/>
        </w:rPr>
        <w:t>s</w:t>
      </w:r>
      <w:r w:rsidRPr="00B53FC7">
        <w:rPr>
          <w:rFonts w:asciiTheme="majorHAnsi" w:hAnsiTheme="majorHAnsi"/>
          <w:sz w:val="22"/>
          <w:szCs w:val="22"/>
        </w:rPr>
        <w:t xml:space="preserve"> of Speech </w:t>
      </w:r>
      <w:r>
        <w:rPr>
          <w:rFonts w:asciiTheme="majorHAnsi" w:hAnsiTheme="majorHAnsi"/>
          <w:sz w:val="22"/>
          <w:szCs w:val="22"/>
        </w:rPr>
        <w:t>which may impact on national security but which are the object of different approaches under international human rights law:</w:t>
      </w:r>
    </w:p>
    <w:p w14:paraId="48D6AE38" w14:textId="77777777" w:rsidR="00B53FC7" w:rsidRDefault="00B53FC7" w:rsidP="000B1B64">
      <w:pPr>
        <w:rPr>
          <w:rFonts w:asciiTheme="majorHAnsi" w:hAnsiTheme="majorHAnsi"/>
          <w:b/>
          <w:i/>
          <w:sz w:val="22"/>
          <w:szCs w:val="22"/>
        </w:rPr>
      </w:pPr>
    </w:p>
    <w:p w14:paraId="1D065E17" w14:textId="336D79D6" w:rsidR="00B53FC7" w:rsidRDefault="00B53FC7" w:rsidP="000B1B64">
      <w:pPr>
        <w:rPr>
          <w:rFonts w:asciiTheme="majorHAnsi" w:hAnsiTheme="majorHAnsi"/>
          <w:b/>
          <w:i/>
          <w:sz w:val="22"/>
          <w:szCs w:val="22"/>
        </w:rPr>
      </w:pPr>
      <w:r w:rsidRPr="00B53FC7">
        <w:rPr>
          <w:rFonts w:asciiTheme="majorHAnsi" w:hAnsiTheme="majorHAnsi"/>
          <w:b/>
          <w:i/>
          <w:sz w:val="22"/>
          <w:szCs w:val="22"/>
        </w:rPr>
        <w:drawing>
          <wp:inline distT="0" distB="0" distL="0" distR="0" wp14:anchorId="09E7E156" wp14:editId="3B8E6C7D">
            <wp:extent cx="5777243" cy="3326155"/>
            <wp:effectExtent l="50800" t="25400" r="39370" b="10287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FBA53CC" w14:textId="47178B0F" w:rsidR="00B53FC7" w:rsidRPr="003E28DE" w:rsidRDefault="003E28DE" w:rsidP="000B1B64">
      <w:pPr>
        <w:rPr>
          <w:rFonts w:asciiTheme="majorHAnsi" w:hAnsiTheme="majorHAnsi"/>
          <w:i/>
          <w:sz w:val="22"/>
          <w:szCs w:val="22"/>
        </w:rPr>
      </w:pPr>
      <w:r w:rsidRPr="003E28DE">
        <w:rPr>
          <w:rFonts w:asciiTheme="majorHAnsi" w:hAnsiTheme="majorHAnsi"/>
          <w:i/>
          <w:sz w:val="22"/>
          <w:szCs w:val="22"/>
        </w:rPr>
        <w:t>Figure 3: Incitement and Hate Speech Under International Human Rights Law</w:t>
      </w:r>
    </w:p>
    <w:p w14:paraId="6A2DA0F5" w14:textId="77777777" w:rsidR="00B53FC7" w:rsidRDefault="00B53FC7" w:rsidP="000B1B64">
      <w:pPr>
        <w:rPr>
          <w:rFonts w:asciiTheme="majorHAnsi" w:hAnsiTheme="majorHAnsi"/>
          <w:b/>
          <w:i/>
          <w:sz w:val="22"/>
          <w:szCs w:val="22"/>
        </w:rPr>
      </w:pPr>
    </w:p>
    <w:p w14:paraId="7384CDC3" w14:textId="77777777" w:rsidR="00B53FC7" w:rsidRDefault="00B53FC7" w:rsidP="000B1B64">
      <w:pPr>
        <w:rPr>
          <w:rFonts w:asciiTheme="majorHAnsi" w:hAnsiTheme="majorHAnsi"/>
          <w:b/>
          <w:i/>
          <w:sz w:val="22"/>
          <w:szCs w:val="22"/>
        </w:rPr>
      </w:pPr>
    </w:p>
    <w:p w14:paraId="6BECFD28" w14:textId="002825FD" w:rsidR="000B1B64" w:rsidRPr="000B5A69" w:rsidRDefault="000B5A69" w:rsidP="000B1B64">
      <w:pPr>
        <w:rPr>
          <w:rFonts w:asciiTheme="majorHAnsi" w:hAnsiTheme="majorHAnsi"/>
          <w:b/>
          <w:i/>
          <w:sz w:val="22"/>
          <w:szCs w:val="22"/>
        </w:rPr>
      </w:pPr>
      <w:r>
        <w:rPr>
          <w:rFonts w:asciiTheme="majorHAnsi" w:hAnsiTheme="majorHAnsi"/>
          <w:b/>
          <w:i/>
          <w:sz w:val="22"/>
          <w:szCs w:val="22"/>
        </w:rPr>
        <w:t>Determining whether</w:t>
      </w:r>
      <w:r w:rsidR="000B1B64" w:rsidRPr="000B5A69">
        <w:rPr>
          <w:rFonts w:asciiTheme="majorHAnsi" w:hAnsiTheme="majorHAnsi"/>
          <w:b/>
          <w:i/>
          <w:sz w:val="22"/>
          <w:szCs w:val="22"/>
        </w:rPr>
        <w:t xml:space="preserve"> Incitement</w:t>
      </w:r>
      <w:r>
        <w:rPr>
          <w:rFonts w:asciiTheme="majorHAnsi" w:hAnsiTheme="majorHAnsi"/>
          <w:b/>
          <w:i/>
          <w:sz w:val="22"/>
          <w:szCs w:val="22"/>
        </w:rPr>
        <w:t xml:space="preserve"> has occurred</w:t>
      </w:r>
    </w:p>
    <w:p w14:paraId="3C6EF627" w14:textId="77777777" w:rsidR="000B5A69" w:rsidRDefault="000B5A69" w:rsidP="000B5A69">
      <w:pPr>
        <w:widowControl w:val="0"/>
        <w:tabs>
          <w:tab w:val="left" w:pos="220"/>
          <w:tab w:val="left" w:pos="720"/>
        </w:tabs>
        <w:autoSpaceDE w:val="0"/>
        <w:autoSpaceDN w:val="0"/>
        <w:adjustRightInd w:val="0"/>
        <w:rPr>
          <w:rFonts w:asciiTheme="majorHAnsi" w:hAnsiTheme="majorHAnsi" w:cs="Times"/>
          <w:sz w:val="22"/>
          <w:szCs w:val="22"/>
          <w:u w:val="single"/>
        </w:rPr>
      </w:pPr>
    </w:p>
    <w:p w14:paraId="1DF7477F" w14:textId="77777777" w:rsidR="000B5A69" w:rsidRPr="000B5A69" w:rsidRDefault="000B5A69" w:rsidP="000B5A69">
      <w:pPr>
        <w:widowControl w:val="0"/>
        <w:tabs>
          <w:tab w:val="left" w:pos="220"/>
          <w:tab w:val="left" w:pos="720"/>
        </w:tabs>
        <w:autoSpaceDE w:val="0"/>
        <w:autoSpaceDN w:val="0"/>
        <w:adjustRightInd w:val="0"/>
        <w:jc w:val="both"/>
        <w:rPr>
          <w:rFonts w:asciiTheme="majorHAnsi" w:hAnsiTheme="majorHAnsi" w:cs="Times"/>
          <w:sz w:val="22"/>
          <w:szCs w:val="22"/>
        </w:rPr>
      </w:pPr>
      <w:r w:rsidRPr="000B5A69">
        <w:rPr>
          <w:rFonts w:asciiTheme="majorHAnsi" w:hAnsiTheme="majorHAnsi" w:cs="Times"/>
          <w:sz w:val="22"/>
          <w:szCs w:val="22"/>
        </w:rPr>
        <w:t xml:space="preserve">Incitement requires a set of active players – a speaker seeking to provoke a reaction, and an active listener (or several) who may be willing to act on the instructions. Incitement causes someone to </w:t>
      </w:r>
      <w:r w:rsidRPr="000B5A69">
        <w:rPr>
          <w:rFonts w:asciiTheme="majorHAnsi" w:hAnsiTheme="majorHAnsi" w:cs="Times"/>
          <w:i/>
          <w:sz w:val="22"/>
          <w:szCs w:val="22"/>
        </w:rPr>
        <w:t>act</w:t>
      </w:r>
      <w:r w:rsidRPr="000B5A69">
        <w:rPr>
          <w:rFonts w:asciiTheme="majorHAnsi" w:hAnsiTheme="majorHAnsi" w:cs="Times"/>
          <w:sz w:val="22"/>
          <w:szCs w:val="22"/>
        </w:rPr>
        <w:t xml:space="preserve"> in a certain way – usually criminal</w:t>
      </w:r>
      <w:r w:rsidRPr="000B5A69">
        <w:rPr>
          <w:rStyle w:val="FootnoteReference"/>
          <w:rFonts w:asciiTheme="majorHAnsi" w:hAnsiTheme="majorHAnsi" w:cs="Times"/>
          <w:sz w:val="22"/>
          <w:szCs w:val="22"/>
        </w:rPr>
        <w:footnoteReference w:id="24"/>
      </w:r>
      <w:r w:rsidRPr="000B5A69">
        <w:rPr>
          <w:rFonts w:asciiTheme="majorHAnsi" w:hAnsiTheme="majorHAnsi" w:cs="Times"/>
          <w:sz w:val="22"/>
          <w:szCs w:val="22"/>
        </w:rPr>
        <w:t xml:space="preserve">.  There is nothing passive about the situation. </w:t>
      </w:r>
    </w:p>
    <w:p w14:paraId="34AE21F3" w14:textId="77777777" w:rsidR="000B1B64" w:rsidRDefault="000B1B64" w:rsidP="000B1B64">
      <w:pPr>
        <w:rPr>
          <w:rFonts w:asciiTheme="majorHAnsi" w:hAnsiTheme="majorHAnsi"/>
          <w:sz w:val="22"/>
          <w:szCs w:val="22"/>
        </w:rPr>
      </w:pPr>
    </w:p>
    <w:p w14:paraId="26CF0422" w14:textId="218DC14B" w:rsidR="000B1B64" w:rsidRDefault="0079455F" w:rsidP="000B1B64">
      <w:pPr>
        <w:rPr>
          <w:rFonts w:asciiTheme="majorHAnsi" w:hAnsiTheme="majorHAnsi"/>
          <w:color w:val="000000"/>
          <w:sz w:val="22"/>
          <w:szCs w:val="22"/>
          <w:lang w:val="en-GB"/>
        </w:rPr>
      </w:pPr>
      <w:r>
        <w:rPr>
          <w:rFonts w:asciiTheme="majorHAnsi" w:hAnsiTheme="majorHAnsi"/>
          <w:color w:val="000000"/>
          <w:sz w:val="22"/>
          <w:szCs w:val="22"/>
          <w:lang w:val="en-GB"/>
        </w:rPr>
        <w:t xml:space="preserve">In order to conclude that </w:t>
      </w:r>
      <w:r w:rsidR="000B1B64">
        <w:rPr>
          <w:rFonts w:asciiTheme="majorHAnsi" w:hAnsiTheme="majorHAnsi"/>
          <w:color w:val="000000"/>
          <w:sz w:val="22"/>
          <w:szCs w:val="22"/>
          <w:lang w:val="en-GB"/>
        </w:rPr>
        <w:t xml:space="preserve">incitement </w:t>
      </w:r>
      <w:r>
        <w:rPr>
          <w:rFonts w:asciiTheme="majorHAnsi" w:hAnsiTheme="majorHAnsi"/>
          <w:color w:val="000000"/>
          <w:sz w:val="22"/>
          <w:szCs w:val="22"/>
          <w:lang w:val="en-GB"/>
        </w:rPr>
        <w:t xml:space="preserve">has taken place, courts must find: </w:t>
      </w:r>
    </w:p>
    <w:p w14:paraId="6EDE4E5C" w14:textId="1BA76F2F" w:rsidR="000B1B64" w:rsidRPr="00FC4655" w:rsidRDefault="000B1B64" w:rsidP="000B1B64">
      <w:pPr>
        <w:pStyle w:val="ListParagraph"/>
        <w:numPr>
          <w:ilvl w:val="0"/>
          <w:numId w:val="8"/>
        </w:numPr>
        <w:rPr>
          <w:rFonts w:asciiTheme="majorHAnsi" w:hAnsiTheme="majorHAnsi"/>
          <w:color w:val="000000"/>
          <w:sz w:val="22"/>
          <w:szCs w:val="22"/>
          <w:lang w:val="en-GB"/>
        </w:rPr>
      </w:pPr>
      <w:r>
        <w:rPr>
          <w:rFonts w:asciiTheme="majorHAnsi" w:hAnsiTheme="majorHAnsi"/>
          <w:color w:val="000000"/>
          <w:sz w:val="22"/>
          <w:szCs w:val="22"/>
          <w:lang w:val="en-GB"/>
        </w:rPr>
        <w:t xml:space="preserve">The </w:t>
      </w:r>
      <w:r w:rsidRPr="002F0AFF">
        <w:rPr>
          <w:rFonts w:asciiTheme="majorHAnsi" w:hAnsiTheme="majorHAnsi"/>
          <w:b/>
          <w:color w:val="000000"/>
          <w:sz w:val="22"/>
          <w:szCs w:val="22"/>
          <w:lang w:val="en-GB"/>
        </w:rPr>
        <w:t xml:space="preserve">intent </w:t>
      </w:r>
      <w:r>
        <w:rPr>
          <w:rFonts w:asciiTheme="majorHAnsi" w:hAnsiTheme="majorHAnsi"/>
          <w:color w:val="000000"/>
          <w:sz w:val="22"/>
          <w:szCs w:val="22"/>
          <w:lang w:val="en-GB"/>
        </w:rPr>
        <w:t>of the Speaker to incite</w:t>
      </w:r>
    </w:p>
    <w:p w14:paraId="5E3A668F" w14:textId="037B04F1" w:rsidR="000B1B64" w:rsidRDefault="000B1B64" w:rsidP="000B1B64">
      <w:pPr>
        <w:pStyle w:val="ListParagraph"/>
        <w:numPr>
          <w:ilvl w:val="0"/>
          <w:numId w:val="8"/>
        </w:numPr>
        <w:rPr>
          <w:rFonts w:asciiTheme="majorHAnsi" w:hAnsiTheme="majorHAnsi"/>
          <w:color w:val="000000"/>
          <w:sz w:val="22"/>
          <w:szCs w:val="22"/>
          <w:lang w:val="en-GB"/>
        </w:rPr>
      </w:pPr>
      <w:r w:rsidRPr="00FC4655">
        <w:rPr>
          <w:rFonts w:asciiTheme="majorHAnsi" w:hAnsiTheme="majorHAnsi"/>
          <w:color w:val="000000"/>
          <w:sz w:val="22"/>
          <w:szCs w:val="22"/>
          <w:lang w:val="en-GB"/>
        </w:rPr>
        <w:t xml:space="preserve">The </w:t>
      </w:r>
      <w:r w:rsidRPr="002F0AFF">
        <w:rPr>
          <w:rFonts w:asciiTheme="majorHAnsi" w:hAnsiTheme="majorHAnsi"/>
          <w:b/>
          <w:color w:val="000000"/>
          <w:sz w:val="22"/>
          <w:szCs w:val="22"/>
          <w:lang w:val="en-GB"/>
        </w:rPr>
        <w:t>likelihood</w:t>
      </w:r>
      <w:r w:rsidRPr="00FC4655">
        <w:rPr>
          <w:rFonts w:asciiTheme="majorHAnsi" w:hAnsiTheme="majorHAnsi"/>
          <w:color w:val="000000"/>
          <w:sz w:val="22"/>
          <w:szCs w:val="22"/>
          <w:lang w:val="en-GB"/>
        </w:rPr>
        <w:t xml:space="preserve"> of </w:t>
      </w:r>
      <w:r>
        <w:rPr>
          <w:rFonts w:asciiTheme="majorHAnsi" w:hAnsiTheme="majorHAnsi"/>
          <w:color w:val="000000"/>
          <w:sz w:val="22"/>
          <w:szCs w:val="22"/>
          <w:lang w:val="en-GB"/>
        </w:rPr>
        <w:t xml:space="preserve">violence </w:t>
      </w:r>
      <w:r w:rsidRPr="00FC4655">
        <w:rPr>
          <w:rFonts w:asciiTheme="majorHAnsi" w:hAnsiTheme="majorHAnsi"/>
          <w:color w:val="000000"/>
          <w:sz w:val="22"/>
          <w:szCs w:val="22"/>
          <w:lang w:val="en-GB"/>
        </w:rPr>
        <w:t>to take place</w:t>
      </w:r>
      <w:r>
        <w:rPr>
          <w:rFonts w:asciiTheme="majorHAnsi" w:hAnsiTheme="majorHAnsi"/>
          <w:color w:val="000000"/>
          <w:sz w:val="22"/>
          <w:szCs w:val="22"/>
          <w:lang w:val="en-GB"/>
        </w:rPr>
        <w:t xml:space="preserve"> and </w:t>
      </w:r>
    </w:p>
    <w:p w14:paraId="4BFC6D1D" w14:textId="3148AE1C" w:rsidR="000B1B64" w:rsidRPr="00FC4655" w:rsidRDefault="000B1B64" w:rsidP="000B1B64">
      <w:pPr>
        <w:pStyle w:val="ListParagraph"/>
        <w:numPr>
          <w:ilvl w:val="0"/>
          <w:numId w:val="8"/>
        </w:numPr>
        <w:rPr>
          <w:rFonts w:asciiTheme="majorHAnsi" w:hAnsiTheme="majorHAnsi"/>
          <w:color w:val="000000"/>
          <w:sz w:val="22"/>
          <w:szCs w:val="22"/>
          <w:lang w:val="en-GB"/>
        </w:rPr>
      </w:pPr>
      <w:r>
        <w:rPr>
          <w:rFonts w:asciiTheme="majorHAnsi" w:hAnsiTheme="majorHAnsi"/>
          <w:color w:val="000000"/>
          <w:sz w:val="22"/>
          <w:szCs w:val="22"/>
          <w:lang w:val="en-GB"/>
        </w:rPr>
        <w:t xml:space="preserve">A </w:t>
      </w:r>
      <w:r w:rsidRPr="002F0AFF">
        <w:rPr>
          <w:rFonts w:asciiTheme="majorHAnsi" w:hAnsiTheme="majorHAnsi"/>
          <w:b/>
          <w:color w:val="000000"/>
          <w:sz w:val="22"/>
          <w:szCs w:val="22"/>
          <w:lang w:val="en-GB"/>
        </w:rPr>
        <w:t>causal link</w:t>
      </w:r>
      <w:r>
        <w:rPr>
          <w:rFonts w:asciiTheme="majorHAnsi" w:hAnsiTheme="majorHAnsi"/>
          <w:color w:val="000000"/>
          <w:sz w:val="22"/>
          <w:szCs w:val="22"/>
          <w:lang w:val="en-GB"/>
        </w:rPr>
        <w:t xml:space="preserve"> between </w:t>
      </w:r>
      <w:r w:rsidR="0079455F">
        <w:rPr>
          <w:rFonts w:asciiTheme="majorHAnsi" w:hAnsiTheme="majorHAnsi"/>
          <w:color w:val="000000"/>
          <w:sz w:val="22"/>
          <w:szCs w:val="22"/>
          <w:lang w:val="en-GB"/>
        </w:rPr>
        <w:t xml:space="preserve">the Speaker’s </w:t>
      </w:r>
      <w:r>
        <w:rPr>
          <w:rFonts w:asciiTheme="majorHAnsi" w:hAnsiTheme="majorHAnsi"/>
          <w:color w:val="000000"/>
          <w:sz w:val="22"/>
          <w:szCs w:val="22"/>
          <w:lang w:val="en-GB"/>
        </w:rPr>
        <w:t>intent</w:t>
      </w:r>
      <w:r w:rsidR="0079455F">
        <w:rPr>
          <w:rFonts w:asciiTheme="majorHAnsi" w:hAnsiTheme="majorHAnsi"/>
          <w:color w:val="000000"/>
          <w:sz w:val="22"/>
          <w:szCs w:val="22"/>
          <w:lang w:val="en-GB"/>
        </w:rPr>
        <w:t>ion</w:t>
      </w:r>
      <w:r>
        <w:rPr>
          <w:rFonts w:asciiTheme="majorHAnsi" w:hAnsiTheme="majorHAnsi"/>
          <w:color w:val="000000"/>
          <w:sz w:val="22"/>
          <w:szCs w:val="22"/>
          <w:lang w:val="en-GB"/>
        </w:rPr>
        <w:t xml:space="preserve"> and </w:t>
      </w:r>
      <w:r w:rsidR="0079455F">
        <w:rPr>
          <w:rFonts w:asciiTheme="majorHAnsi" w:hAnsiTheme="majorHAnsi"/>
          <w:color w:val="000000"/>
          <w:sz w:val="22"/>
          <w:szCs w:val="22"/>
          <w:lang w:val="en-GB"/>
        </w:rPr>
        <w:t>violence</w:t>
      </w:r>
      <w:r>
        <w:rPr>
          <w:rFonts w:asciiTheme="majorHAnsi" w:hAnsiTheme="majorHAnsi"/>
          <w:color w:val="000000"/>
          <w:sz w:val="22"/>
          <w:szCs w:val="22"/>
          <w:lang w:val="en-GB"/>
        </w:rPr>
        <w:t xml:space="preserve">. </w:t>
      </w:r>
      <w:r w:rsidRPr="00FC4655">
        <w:rPr>
          <w:rFonts w:asciiTheme="majorHAnsi" w:hAnsiTheme="majorHAnsi"/>
          <w:color w:val="000000"/>
          <w:sz w:val="22"/>
          <w:szCs w:val="22"/>
          <w:lang w:val="en-GB"/>
        </w:rPr>
        <w:t xml:space="preserve">  </w:t>
      </w:r>
    </w:p>
    <w:p w14:paraId="2DF2E214" w14:textId="77777777" w:rsidR="000B1B64" w:rsidRDefault="000B1B64" w:rsidP="000B1B64">
      <w:pPr>
        <w:rPr>
          <w:rFonts w:asciiTheme="majorHAnsi" w:hAnsiTheme="majorHAnsi"/>
          <w:b/>
          <w:color w:val="000000"/>
          <w:sz w:val="22"/>
          <w:szCs w:val="22"/>
          <w:u w:val="single"/>
          <w:lang w:val="en-GB"/>
        </w:rPr>
      </w:pPr>
    </w:p>
    <w:p w14:paraId="59D7EC5C" w14:textId="2DF8C97A" w:rsidR="000B1B64" w:rsidRDefault="000B1B64" w:rsidP="000B1B64">
      <w:pPr>
        <w:rPr>
          <w:rFonts w:asciiTheme="majorHAnsi" w:hAnsiTheme="majorHAnsi"/>
          <w:color w:val="000000"/>
          <w:sz w:val="22"/>
          <w:szCs w:val="22"/>
          <w:lang w:val="en-GB"/>
        </w:rPr>
      </w:pPr>
      <w:r w:rsidRPr="00FC4655">
        <w:rPr>
          <w:rFonts w:asciiTheme="majorHAnsi" w:hAnsiTheme="majorHAnsi"/>
          <w:color w:val="000000"/>
          <w:sz w:val="22"/>
          <w:szCs w:val="22"/>
          <w:lang w:val="en-GB"/>
        </w:rPr>
        <w:t>To assess</w:t>
      </w:r>
      <w:r>
        <w:rPr>
          <w:rFonts w:asciiTheme="majorHAnsi" w:hAnsiTheme="majorHAnsi"/>
          <w:color w:val="000000"/>
          <w:sz w:val="22"/>
          <w:szCs w:val="22"/>
          <w:lang w:val="en-GB"/>
        </w:rPr>
        <w:t xml:space="preserve"> and determine whether incitement has taken place, </w:t>
      </w:r>
      <w:r w:rsidR="0079321B">
        <w:rPr>
          <w:rFonts w:asciiTheme="majorHAnsi" w:hAnsiTheme="majorHAnsi"/>
          <w:color w:val="000000"/>
          <w:sz w:val="22"/>
          <w:szCs w:val="22"/>
          <w:lang w:val="en-GB"/>
        </w:rPr>
        <w:t xml:space="preserve">ARTICLE 19 has suggested that Courts and other actors should </w:t>
      </w:r>
      <w:r w:rsidR="0079455F">
        <w:rPr>
          <w:rFonts w:asciiTheme="majorHAnsi" w:hAnsiTheme="majorHAnsi"/>
          <w:color w:val="000000"/>
          <w:sz w:val="22"/>
          <w:szCs w:val="22"/>
          <w:lang w:val="en-GB"/>
        </w:rPr>
        <w:t>review the following elements</w:t>
      </w:r>
      <w:r w:rsidR="0079321B">
        <w:rPr>
          <w:rFonts w:asciiTheme="majorHAnsi" w:hAnsiTheme="majorHAnsi"/>
          <w:color w:val="000000"/>
          <w:sz w:val="22"/>
          <w:szCs w:val="22"/>
          <w:lang w:val="en-GB"/>
        </w:rPr>
        <w:t>, on the basis of an extensive review of the jurisprudence around the world</w:t>
      </w:r>
      <w:r w:rsidR="0079321B">
        <w:rPr>
          <w:rStyle w:val="FootnoteReference"/>
          <w:rFonts w:asciiTheme="majorHAnsi" w:hAnsiTheme="majorHAnsi"/>
          <w:color w:val="000000"/>
          <w:sz w:val="22"/>
          <w:szCs w:val="22"/>
          <w:lang w:val="en-GB"/>
        </w:rPr>
        <w:footnoteReference w:id="25"/>
      </w:r>
      <w:r w:rsidR="00C25F5C">
        <w:rPr>
          <w:rFonts w:asciiTheme="majorHAnsi" w:hAnsiTheme="majorHAnsi"/>
          <w:color w:val="000000"/>
          <w:sz w:val="22"/>
          <w:szCs w:val="22"/>
          <w:lang w:val="en-GB"/>
        </w:rPr>
        <w:t>. These factors were further adopted by the Rabat Plan of Action</w:t>
      </w:r>
      <w:r w:rsidR="00C25F5C">
        <w:rPr>
          <w:rStyle w:val="FootnoteReference"/>
          <w:rFonts w:asciiTheme="majorHAnsi" w:hAnsiTheme="majorHAnsi"/>
          <w:color w:val="000000"/>
          <w:sz w:val="22"/>
          <w:szCs w:val="22"/>
          <w:lang w:val="en-GB"/>
        </w:rPr>
        <w:footnoteReference w:id="26"/>
      </w:r>
      <w:r w:rsidR="00C25F5C">
        <w:rPr>
          <w:rFonts w:asciiTheme="majorHAnsi" w:hAnsiTheme="majorHAnsi"/>
          <w:color w:val="000000"/>
          <w:sz w:val="22"/>
          <w:szCs w:val="22"/>
          <w:lang w:val="en-GB"/>
        </w:rPr>
        <w:t xml:space="preserve">, </w:t>
      </w:r>
      <w:proofErr w:type="gramStart"/>
      <w:r w:rsidR="00C25F5C">
        <w:rPr>
          <w:rFonts w:asciiTheme="majorHAnsi" w:hAnsiTheme="majorHAnsi"/>
          <w:color w:val="000000"/>
          <w:sz w:val="22"/>
          <w:szCs w:val="22"/>
          <w:lang w:val="en-GB"/>
        </w:rPr>
        <w:t>a</w:t>
      </w:r>
      <w:proofErr w:type="gramEnd"/>
      <w:r w:rsidR="00C25F5C">
        <w:rPr>
          <w:rFonts w:asciiTheme="majorHAnsi" w:hAnsiTheme="majorHAnsi"/>
          <w:color w:val="000000"/>
          <w:sz w:val="22"/>
          <w:szCs w:val="22"/>
          <w:lang w:val="en-GB"/>
        </w:rPr>
        <w:t xml:space="preserve"> UN-led process to unpack article 20 of the ICCPR. </w:t>
      </w:r>
    </w:p>
    <w:p w14:paraId="6C763197" w14:textId="77777777" w:rsidR="00613B3A" w:rsidRPr="00613B3A" w:rsidRDefault="00613B3A" w:rsidP="00613B3A">
      <w:pPr>
        <w:numPr>
          <w:ilvl w:val="0"/>
          <w:numId w:val="14"/>
        </w:numPr>
        <w:rPr>
          <w:rFonts w:asciiTheme="majorHAnsi" w:hAnsiTheme="majorHAnsi"/>
          <w:color w:val="000000"/>
          <w:sz w:val="22"/>
          <w:szCs w:val="22"/>
        </w:rPr>
      </w:pPr>
      <w:r w:rsidRPr="00613B3A">
        <w:rPr>
          <w:rFonts w:asciiTheme="majorHAnsi" w:hAnsiTheme="majorHAnsi"/>
          <w:b/>
          <w:bCs/>
          <w:color w:val="000000"/>
          <w:sz w:val="22"/>
          <w:szCs w:val="22"/>
        </w:rPr>
        <w:t>Context</w:t>
      </w:r>
      <w:r w:rsidRPr="00613B3A">
        <w:rPr>
          <w:rFonts w:asciiTheme="majorHAnsi" w:hAnsiTheme="majorHAnsi"/>
          <w:color w:val="000000"/>
          <w:sz w:val="22"/>
          <w:szCs w:val="22"/>
        </w:rPr>
        <w:t xml:space="preserve">: is there a history of violence, discrimination, </w:t>
      </w:r>
      <w:proofErr w:type="gramStart"/>
      <w:r w:rsidRPr="00613B3A">
        <w:rPr>
          <w:rFonts w:asciiTheme="majorHAnsi" w:hAnsiTheme="majorHAnsi"/>
          <w:color w:val="000000"/>
          <w:sz w:val="22"/>
          <w:szCs w:val="22"/>
        </w:rPr>
        <w:t>censorship</w:t>
      </w:r>
      <w:proofErr w:type="gramEnd"/>
      <w:r w:rsidRPr="00613B3A">
        <w:rPr>
          <w:rFonts w:asciiTheme="majorHAnsi" w:hAnsiTheme="majorHAnsi"/>
          <w:color w:val="000000"/>
          <w:sz w:val="22"/>
          <w:szCs w:val="22"/>
        </w:rPr>
        <w:t xml:space="preserve"> particularly targeting specific groups?</w:t>
      </w:r>
    </w:p>
    <w:p w14:paraId="0D59526A" w14:textId="77777777" w:rsidR="00613B3A" w:rsidRPr="00613B3A" w:rsidRDefault="00613B3A" w:rsidP="00613B3A">
      <w:pPr>
        <w:numPr>
          <w:ilvl w:val="0"/>
          <w:numId w:val="14"/>
        </w:numPr>
        <w:rPr>
          <w:rFonts w:asciiTheme="majorHAnsi" w:hAnsiTheme="majorHAnsi"/>
          <w:color w:val="000000"/>
          <w:sz w:val="22"/>
          <w:szCs w:val="22"/>
        </w:rPr>
      </w:pPr>
      <w:r w:rsidRPr="00613B3A">
        <w:rPr>
          <w:rFonts w:asciiTheme="majorHAnsi" w:hAnsiTheme="majorHAnsi"/>
          <w:b/>
          <w:bCs/>
          <w:color w:val="000000"/>
          <w:sz w:val="22"/>
          <w:szCs w:val="22"/>
        </w:rPr>
        <w:t>The Speaker</w:t>
      </w:r>
      <w:r w:rsidRPr="00613B3A">
        <w:rPr>
          <w:rFonts w:asciiTheme="majorHAnsi" w:hAnsiTheme="majorHAnsi"/>
          <w:color w:val="000000"/>
          <w:sz w:val="22"/>
          <w:szCs w:val="22"/>
        </w:rPr>
        <w:t>: does he/she have influence? Hold position of power and authority? Can he/she</w:t>
      </w:r>
      <w:r w:rsidRPr="00613B3A">
        <w:rPr>
          <w:rFonts w:asciiTheme="majorHAnsi" w:hAnsiTheme="majorHAnsi"/>
          <w:color w:val="000000"/>
          <w:sz w:val="22"/>
          <w:szCs w:val="22"/>
          <w:lang w:val="en-GB"/>
        </w:rPr>
        <w:t xml:space="preserve"> influence the audience?</w:t>
      </w:r>
    </w:p>
    <w:p w14:paraId="36BB56FE" w14:textId="77777777" w:rsidR="00613B3A" w:rsidRPr="00613B3A" w:rsidRDefault="00613B3A" w:rsidP="00613B3A">
      <w:pPr>
        <w:numPr>
          <w:ilvl w:val="0"/>
          <w:numId w:val="14"/>
        </w:numPr>
        <w:rPr>
          <w:rFonts w:asciiTheme="majorHAnsi" w:hAnsiTheme="majorHAnsi"/>
          <w:color w:val="000000"/>
          <w:sz w:val="22"/>
          <w:szCs w:val="22"/>
        </w:rPr>
      </w:pPr>
      <w:r w:rsidRPr="00613B3A">
        <w:rPr>
          <w:rFonts w:asciiTheme="majorHAnsi" w:hAnsiTheme="majorHAnsi"/>
          <w:b/>
          <w:bCs/>
          <w:color w:val="000000"/>
          <w:sz w:val="22"/>
          <w:szCs w:val="22"/>
        </w:rPr>
        <w:t xml:space="preserve">The Speech: </w:t>
      </w:r>
      <w:r w:rsidRPr="00613B3A">
        <w:rPr>
          <w:rFonts w:asciiTheme="majorHAnsi" w:hAnsiTheme="majorHAnsi"/>
          <w:color w:val="000000"/>
          <w:sz w:val="22"/>
          <w:szCs w:val="22"/>
          <w:lang w:val="en-GB"/>
        </w:rPr>
        <w:t>is there a direct call for the audience to act in a certain way? Is it provocative? Inflammatory? Coded?</w:t>
      </w:r>
    </w:p>
    <w:p w14:paraId="4C0527BD" w14:textId="77777777" w:rsidR="00613B3A" w:rsidRPr="00613B3A" w:rsidRDefault="00613B3A" w:rsidP="00613B3A">
      <w:pPr>
        <w:numPr>
          <w:ilvl w:val="0"/>
          <w:numId w:val="14"/>
        </w:numPr>
        <w:rPr>
          <w:rFonts w:asciiTheme="majorHAnsi" w:hAnsiTheme="majorHAnsi"/>
          <w:color w:val="000000"/>
          <w:sz w:val="22"/>
          <w:szCs w:val="22"/>
        </w:rPr>
      </w:pPr>
      <w:r w:rsidRPr="00613B3A">
        <w:rPr>
          <w:rFonts w:asciiTheme="majorHAnsi" w:hAnsiTheme="majorHAnsi"/>
          <w:b/>
          <w:bCs/>
          <w:color w:val="000000"/>
          <w:sz w:val="22"/>
          <w:szCs w:val="22"/>
          <w:lang w:val="en-GB"/>
        </w:rPr>
        <w:t xml:space="preserve">The Medium used: </w:t>
      </w:r>
      <w:r w:rsidRPr="00613B3A">
        <w:rPr>
          <w:rFonts w:asciiTheme="majorHAnsi" w:hAnsiTheme="majorHAnsi"/>
          <w:color w:val="000000"/>
          <w:sz w:val="22"/>
          <w:szCs w:val="22"/>
        </w:rPr>
        <w:t>Is it public? Frequent? Massive in its outreach? (</w:t>
      </w:r>
      <w:proofErr w:type="gramStart"/>
      <w:r w:rsidRPr="00613B3A">
        <w:rPr>
          <w:rFonts w:asciiTheme="majorHAnsi" w:hAnsiTheme="majorHAnsi"/>
          <w:color w:val="000000"/>
          <w:sz w:val="22"/>
          <w:szCs w:val="22"/>
        </w:rPr>
        <w:t>a</w:t>
      </w:r>
      <w:proofErr w:type="gramEnd"/>
      <w:r w:rsidRPr="00613B3A">
        <w:rPr>
          <w:rFonts w:asciiTheme="majorHAnsi" w:hAnsiTheme="majorHAnsi"/>
          <w:color w:val="000000"/>
          <w:sz w:val="22"/>
          <w:szCs w:val="22"/>
        </w:rPr>
        <w:t xml:space="preserve"> single leaflet </w:t>
      </w:r>
      <w:proofErr w:type="spellStart"/>
      <w:r w:rsidRPr="00613B3A">
        <w:rPr>
          <w:rFonts w:asciiTheme="majorHAnsi" w:hAnsiTheme="majorHAnsi"/>
          <w:color w:val="000000"/>
          <w:sz w:val="22"/>
          <w:szCs w:val="22"/>
        </w:rPr>
        <w:t>vs</w:t>
      </w:r>
      <w:proofErr w:type="spellEnd"/>
      <w:r w:rsidRPr="00613B3A">
        <w:rPr>
          <w:rFonts w:asciiTheme="majorHAnsi" w:hAnsiTheme="majorHAnsi"/>
          <w:color w:val="000000"/>
          <w:sz w:val="22"/>
          <w:szCs w:val="22"/>
        </w:rPr>
        <w:t xml:space="preserve"> mass media)</w:t>
      </w:r>
    </w:p>
    <w:p w14:paraId="443C132A" w14:textId="67D69A74" w:rsidR="000B1B64" w:rsidRPr="00613B3A" w:rsidRDefault="00613B3A" w:rsidP="00613B3A">
      <w:pPr>
        <w:numPr>
          <w:ilvl w:val="0"/>
          <w:numId w:val="14"/>
        </w:numPr>
        <w:rPr>
          <w:rFonts w:asciiTheme="majorHAnsi" w:hAnsiTheme="majorHAnsi"/>
          <w:color w:val="000000"/>
          <w:sz w:val="22"/>
          <w:szCs w:val="22"/>
        </w:rPr>
      </w:pPr>
      <w:r w:rsidRPr="00613B3A">
        <w:rPr>
          <w:rFonts w:asciiTheme="majorHAnsi" w:hAnsiTheme="majorHAnsi"/>
          <w:b/>
          <w:bCs/>
          <w:color w:val="000000"/>
          <w:sz w:val="22"/>
          <w:szCs w:val="22"/>
        </w:rPr>
        <w:t>The Audience:</w:t>
      </w:r>
      <w:r w:rsidRPr="00613B3A">
        <w:rPr>
          <w:rFonts w:asciiTheme="majorHAnsi" w:hAnsiTheme="majorHAnsi"/>
          <w:color w:val="000000"/>
          <w:sz w:val="22"/>
          <w:szCs w:val="22"/>
        </w:rPr>
        <w:t xml:space="preserve"> How large is it? How responsive is it to the speech/speaker? </w:t>
      </w:r>
      <w:r w:rsidRPr="00613B3A">
        <w:rPr>
          <w:rFonts w:asciiTheme="majorHAnsi" w:hAnsiTheme="majorHAnsi"/>
          <w:color w:val="000000"/>
          <w:sz w:val="22"/>
          <w:szCs w:val="22"/>
          <w:lang w:val="en-GB"/>
        </w:rPr>
        <w:t>Does it have the means to act on the speech act (e.g. Was the audience able to commit acts of discrimination, violence or hostility?</w:t>
      </w:r>
      <w:proofErr w:type="gramStart"/>
      <w:r w:rsidRPr="00613B3A">
        <w:rPr>
          <w:rFonts w:asciiTheme="majorHAnsi" w:hAnsiTheme="majorHAnsi"/>
          <w:color w:val="000000"/>
          <w:sz w:val="22"/>
          <w:szCs w:val="22"/>
          <w:lang w:val="en-GB"/>
        </w:rPr>
        <w:t>)</w:t>
      </w:r>
      <w:proofErr w:type="gramEnd"/>
      <w:r w:rsidRPr="00613B3A">
        <w:rPr>
          <w:rFonts w:asciiTheme="majorHAnsi" w:hAnsiTheme="majorHAnsi"/>
          <w:color w:val="000000"/>
          <w:sz w:val="22"/>
          <w:szCs w:val="22"/>
          <w:lang w:val="en-GB"/>
        </w:rPr>
        <w:t xml:space="preserve"> Was the speech reasonably understood by its audience as a call to acts of discrimination, violence or hostility? </w:t>
      </w:r>
    </w:p>
    <w:p w14:paraId="671DD56E" w14:textId="77777777" w:rsidR="00B11F4B" w:rsidRDefault="00B11F4B" w:rsidP="0079455F">
      <w:pPr>
        <w:rPr>
          <w:rFonts w:asciiTheme="majorHAnsi" w:hAnsiTheme="majorHAnsi"/>
          <w:b/>
          <w:i/>
        </w:rPr>
      </w:pPr>
    </w:p>
    <w:p w14:paraId="4390F471" w14:textId="1FDCB3C1" w:rsidR="00B11F4B" w:rsidRPr="00B11F4B" w:rsidRDefault="00B11F4B" w:rsidP="005743D7">
      <w:pPr>
        <w:jc w:val="both"/>
        <w:rPr>
          <w:rFonts w:asciiTheme="majorHAnsi" w:hAnsiTheme="majorHAnsi"/>
          <w:b/>
          <w:i/>
        </w:rPr>
      </w:pPr>
      <w:r w:rsidRPr="00B11F4B">
        <w:rPr>
          <w:rFonts w:asciiTheme="majorHAnsi" w:hAnsiTheme="majorHAnsi"/>
          <w:b/>
          <w:i/>
        </w:rPr>
        <w:t xml:space="preserve">Abuse of international standards: </w:t>
      </w:r>
      <w:r w:rsidR="005743D7">
        <w:rPr>
          <w:rFonts w:asciiTheme="majorHAnsi" w:hAnsiTheme="majorHAnsi"/>
          <w:b/>
          <w:i/>
        </w:rPr>
        <w:t xml:space="preserve">the notion of </w:t>
      </w:r>
      <w:r w:rsidRPr="00B11F4B">
        <w:rPr>
          <w:rFonts w:asciiTheme="majorHAnsi" w:hAnsiTheme="majorHAnsi"/>
          <w:b/>
          <w:i/>
        </w:rPr>
        <w:t>inciting hatred against the regime</w:t>
      </w:r>
    </w:p>
    <w:p w14:paraId="2AFE67B9" w14:textId="77777777" w:rsidR="00B11F4B" w:rsidRPr="00CF23AF" w:rsidRDefault="00B11F4B" w:rsidP="005743D7">
      <w:pPr>
        <w:jc w:val="both"/>
        <w:rPr>
          <w:rFonts w:asciiTheme="majorHAnsi" w:hAnsiTheme="majorHAnsi"/>
          <w:b/>
          <w:u w:val="single"/>
        </w:rPr>
      </w:pPr>
    </w:p>
    <w:p w14:paraId="4C962F80" w14:textId="617BDCE8" w:rsidR="00CF23AF" w:rsidRDefault="00CF23AF" w:rsidP="005743D7">
      <w:pPr>
        <w:widowControl w:val="0"/>
        <w:autoSpaceDE w:val="0"/>
        <w:autoSpaceDN w:val="0"/>
        <w:adjustRightInd w:val="0"/>
        <w:jc w:val="both"/>
        <w:rPr>
          <w:rFonts w:asciiTheme="majorHAnsi" w:hAnsiTheme="majorHAnsi" w:cs="Times"/>
        </w:rPr>
      </w:pPr>
      <w:r>
        <w:rPr>
          <w:rFonts w:asciiTheme="majorHAnsi" w:hAnsiTheme="majorHAnsi" w:cs="Times"/>
        </w:rPr>
        <w:t xml:space="preserve">A number of countries </w:t>
      </w:r>
      <w:r w:rsidR="005743D7">
        <w:rPr>
          <w:rFonts w:asciiTheme="majorHAnsi" w:hAnsiTheme="majorHAnsi" w:cs="Times"/>
        </w:rPr>
        <w:t>criminalize</w:t>
      </w:r>
      <w:r>
        <w:rPr>
          <w:rFonts w:asciiTheme="majorHAnsi" w:hAnsiTheme="majorHAnsi" w:cs="Times"/>
        </w:rPr>
        <w:t xml:space="preserve"> “Incitement of hatre</w:t>
      </w:r>
      <w:r w:rsidR="00C25F5C">
        <w:rPr>
          <w:rFonts w:asciiTheme="majorHAnsi" w:hAnsiTheme="majorHAnsi" w:cs="Times"/>
        </w:rPr>
        <w:t>d against the regime,” a “crime”</w:t>
      </w:r>
      <w:r>
        <w:rPr>
          <w:rFonts w:asciiTheme="majorHAnsi" w:hAnsiTheme="majorHAnsi" w:cs="Times"/>
        </w:rPr>
        <w:t xml:space="preserve"> usually linked to national security concerns. </w:t>
      </w:r>
    </w:p>
    <w:p w14:paraId="489960A7" w14:textId="77777777" w:rsidR="00CF23AF" w:rsidRDefault="00CF23AF" w:rsidP="005743D7">
      <w:pPr>
        <w:widowControl w:val="0"/>
        <w:autoSpaceDE w:val="0"/>
        <w:autoSpaceDN w:val="0"/>
        <w:adjustRightInd w:val="0"/>
        <w:jc w:val="both"/>
        <w:rPr>
          <w:rFonts w:asciiTheme="majorHAnsi" w:hAnsiTheme="majorHAnsi" w:cs="Times"/>
        </w:rPr>
      </w:pPr>
    </w:p>
    <w:p w14:paraId="2E8091B9" w14:textId="3F1DB019" w:rsidR="00CF23AF" w:rsidRPr="00CF23AF" w:rsidRDefault="00CF23AF" w:rsidP="005743D7">
      <w:pPr>
        <w:widowControl w:val="0"/>
        <w:autoSpaceDE w:val="0"/>
        <w:autoSpaceDN w:val="0"/>
        <w:adjustRightInd w:val="0"/>
        <w:jc w:val="both"/>
        <w:rPr>
          <w:rFonts w:asciiTheme="majorHAnsi" w:hAnsiTheme="majorHAnsi" w:cs="Times"/>
        </w:rPr>
      </w:pPr>
      <w:r w:rsidRPr="00CF23AF">
        <w:rPr>
          <w:rFonts w:asciiTheme="majorHAnsi" w:hAnsiTheme="majorHAnsi" w:cs="Times"/>
        </w:rPr>
        <w:t>The criminalization of incitement to “hatred against the regime” is problematic from an international law point of view. Since the provisions restrict the right to freedom of expression, it should still meet the thresholds contained within Articles 19 and 20 of the ICCP; namely that they must be “provided by law”, meet legitimate aim expressly enumerated in Article 19 para</w:t>
      </w:r>
      <w:r>
        <w:rPr>
          <w:rFonts w:asciiTheme="majorHAnsi" w:hAnsiTheme="majorHAnsi" w:cs="Times"/>
        </w:rPr>
        <w:t>graph</w:t>
      </w:r>
      <w:r w:rsidRPr="00CF23AF">
        <w:rPr>
          <w:rFonts w:asciiTheme="majorHAnsi" w:hAnsiTheme="majorHAnsi" w:cs="Times"/>
        </w:rPr>
        <w:t xml:space="preserve"> 3, and be proportionate to the protected aims.</w:t>
      </w:r>
    </w:p>
    <w:p w14:paraId="70F98938" w14:textId="77777777" w:rsidR="00CF23AF" w:rsidRDefault="00CF23AF" w:rsidP="005743D7">
      <w:pPr>
        <w:widowControl w:val="0"/>
        <w:autoSpaceDE w:val="0"/>
        <w:autoSpaceDN w:val="0"/>
        <w:adjustRightInd w:val="0"/>
        <w:jc w:val="both"/>
        <w:rPr>
          <w:rFonts w:asciiTheme="majorHAnsi" w:hAnsiTheme="majorHAnsi" w:cs="Times"/>
        </w:rPr>
      </w:pPr>
    </w:p>
    <w:p w14:paraId="26DCEFE1" w14:textId="78D2663F" w:rsidR="00CF23AF" w:rsidRPr="00CF23AF" w:rsidRDefault="00CF23AF" w:rsidP="005743D7">
      <w:pPr>
        <w:widowControl w:val="0"/>
        <w:autoSpaceDE w:val="0"/>
        <w:autoSpaceDN w:val="0"/>
        <w:adjustRightInd w:val="0"/>
        <w:jc w:val="both"/>
        <w:rPr>
          <w:rFonts w:asciiTheme="majorHAnsi" w:hAnsiTheme="majorHAnsi" w:cs="Times"/>
        </w:rPr>
      </w:pPr>
      <w:r w:rsidRPr="00CF23AF">
        <w:rPr>
          <w:rFonts w:asciiTheme="majorHAnsi" w:hAnsiTheme="majorHAnsi" w:cs="Times"/>
        </w:rPr>
        <w:t xml:space="preserve">The term “hatred against the regime” is unclear and broad in scope. It can thus be arbitrarily interpreted, is opened to abuse and may be used to restrict legitimate expression including critique of the government. </w:t>
      </w:r>
      <w:r w:rsidR="005743D7">
        <w:rPr>
          <w:rFonts w:asciiTheme="majorHAnsi" w:hAnsiTheme="majorHAnsi" w:cs="Times"/>
        </w:rPr>
        <w:t xml:space="preserve">The </w:t>
      </w:r>
      <w:r w:rsidRPr="00CF23AF">
        <w:rPr>
          <w:rFonts w:asciiTheme="majorHAnsi" w:hAnsiTheme="majorHAnsi" w:cs="Times"/>
        </w:rPr>
        <w:t>lack of clarity poses a threat to legitimate criticism of the government, which is a foundation of democratic society.</w:t>
      </w:r>
    </w:p>
    <w:p w14:paraId="493CDEB8" w14:textId="77777777" w:rsidR="00CF23AF" w:rsidRDefault="00CF23AF" w:rsidP="005743D7">
      <w:pPr>
        <w:widowControl w:val="0"/>
        <w:autoSpaceDE w:val="0"/>
        <w:autoSpaceDN w:val="0"/>
        <w:adjustRightInd w:val="0"/>
        <w:jc w:val="both"/>
        <w:rPr>
          <w:rFonts w:asciiTheme="majorHAnsi" w:hAnsiTheme="majorHAnsi" w:cs="Times"/>
        </w:rPr>
      </w:pPr>
    </w:p>
    <w:p w14:paraId="156331BD" w14:textId="3F3922B8" w:rsidR="00CF23AF" w:rsidRPr="00CF23AF" w:rsidRDefault="00CF23AF" w:rsidP="005743D7">
      <w:pPr>
        <w:widowControl w:val="0"/>
        <w:autoSpaceDE w:val="0"/>
        <w:autoSpaceDN w:val="0"/>
        <w:adjustRightInd w:val="0"/>
        <w:jc w:val="both"/>
        <w:rPr>
          <w:rFonts w:asciiTheme="majorHAnsi" w:hAnsiTheme="majorHAnsi" w:cs="Times"/>
        </w:rPr>
      </w:pPr>
      <w:r w:rsidRPr="00CF23AF">
        <w:rPr>
          <w:rFonts w:asciiTheme="majorHAnsi" w:hAnsiTheme="majorHAnsi" w:cs="Times"/>
        </w:rPr>
        <w:t>The restriction is also not mandated under international law. I</w:t>
      </w:r>
      <w:r>
        <w:rPr>
          <w:rFonts w:asciiTheme="majorHAnsi" w:hAnsiTheme="majorHAnsi" w:cs="Times"/>
        </w:rPr>
        <w:t>t is to be contrasted with the kind of incitement prohibited by Article 20, which establishes a link between incitement and hatred on national, ethnic or religious grounds</w:t>
      </w:r>
      <w:r w:rsidRPr="00CF23AF">
        <w:rPr>
          <w:rFonts w:asciiTheme="majorHAnsi" w:hAnsiTheme="majorHAnsi" w:cs="Times"/>
        </w:rPr>
        <w:t xml:space="preserve">. </w:t>
      </w:r>
      <w:r>
        <w:rPr>
          <w:rFonts w:asciiTheme="majorHAnsi" w:hAnsiTheme="majorHAnsi" w:cs="Times"/>
        </w:rPr>
        <w:t xml:space="preserve"> </w:t>
      </w:r>
      <w:r w:rsidRPr="00CF23AF">
        <w:rPr>
          <w:rFonts w:asciiTheme="majorHAnsi" w:hAnsiTheme="majorHAnsi" w:cs="Times"/>
        </w:rPr>
        <w:t>The restrictions it imposes on freedom of expression are neither necessary nor proportionate under international human rights law.</w:t>
      </w:r>
    </w:p>
    <w:p w14:paraId="3D00E461" w14:textId="77777777" w:rsidR="00B11F4B" w:rsidRPr="00D727BE" w:rsidRDefault="00B11F4B" w:rsidP="00D727BE">
      <w:pPr>
        <w:jc w:val="both"/>
        <w:rPr>
          <w:rFonts w:asciiTheme="majorHAnsi" w:hAnsiTheme="majorHAnsi"/>
          <w:sz w:val="22"/>
          <w:szCs w:val="22"/>
        </w:rPr>
      </w:pPr>
    </w:p>
    <w:p w14:paraId="39FF6E3D" w14:textId="608C776B" w:rsidR="00CF478C" w:rsidRPr="00CF478C" w:rsidRDefault="00272F1D" w:rsidP="00205AC7">
      <w:pPr>
        <w:spacing w:line="276" w:lineRule="auto"/>
        <w:jc w:val="both"/>
        <w:rPr>
          <w:rFonts w:asciiTheme="majorHAnsi" w:hAnsiTheme="majorHAnsi"/>
          <w:bCs/>
          <w:szCs w:val="22"/>
        </w:rPr>
      </w:pPr>
      <w:r>
        <w:rPr>
          <w:rFonts w:asciiTheme="majorHAnsi" w:hAnsiTheme="majorHAnsi"/>
          <w:b/>
          <w:u w:val="single"/>
        </w:rPr>
        <w:t>I.3</w:t>
      </w:r>
      <w:r w:rsidR="00842C0D">
        <w:rPr>
          <w:rFonts w:asciiTheme="majorHAnsi" w:hAnsiTheme="majorHAnsi"/>
          <w:b/>
          <w:u w:val="single"/>
        </w:rPr>
        <w:t xml:space="preserve">. </w:t>
      </w:r>
      <w:r w:rsidR="00BE616B">
        <w:rPr>
          <w:rFonts w:asciiTheme="majorHAnsi" w:hAnsiTheme="majorHAnsi"/>
          <w:b/>
          <w:u w:val="single"/>
        </w:rPr>
        <w:t xml:space="preserve">Further elaboration and clarification:  </w:t>
      </w:r>
      <w:r w:rsidR="00205AC7" w:rsidRPr="00CF478C">
        <w:rPr>
          <w:rFonts w:asciiTheme="majorHAnsi" w:hAnsiTheme="majorHAnsi"/>
          <w:b/>
          <w:bCs/>
          <w:szCs w:val="22"/>
          <w:u w:val="single"/>
        </w:rPr>
        <w:t>The Johannesburg Principles</w:t>
      </w:r>
      <w:r w:rsidR="00205AC7" w:rsidRPr="00CF478C">
        <w:rPr>
          <w:rFonts w:asciiTheme="majorHAnsi" w:hAnsiTheme="majorHAnsi"/>
          <w:bCs/>
          <w:szCs w:val="22"/>
        </w:rPr>
        <w:t xml:space="preserve"> </w:t>
      </w:r>
    </w:p>
    <w:p w14:paraId="245FFC47" w14:textId="77777777" w:rsidR="00D727BE" w:rsidRDefault="00D727BE" w:rsidP="00BE616B">
      <w:pPr>
        <w:widowControl w:val="0"/>
        <w:autoSpaceDE w:val="0"/>
        <w:autoSpaceDN w:val="0"/>
        <w:adjustRightInd w:val="0"/>
        <w:jc w:val="both"/>
        <w:rPr>
          <w:rFonts w:asciiTheme="majorHAnsi" w:hAnsiTheme="majorHAnsi"/>
          <w:bCs/>
        </w:rPr>
      </w:pPr>
    </w:p>
    <w:p w14:paraId="7924974D" w14:textId="777304B8" w:rsidR="00BE616B" w:rsidRPr="00BE616B" w:rsidRDefault="00BE616B" w:rsidP="00BE616B">
      <w:pPr>
        <w:widowControl w:val="0"/>
        <w:autoSpaceDE w:val="0"/>
        <w:autoSpaceDN w:val="0"/>
        <w:adjustRightInd w:val="0"/>
        <w:jc w:val="both"/>
        <w:rPr>
          <w:rFonts w:asciiTheme="majorHAnsi" w:hAnsiTheme="majorHAnsi" w:cs="Verdana"/>
          <w:color w:val="171717"/>
          <w:sz w:val="22"/>
          <w:szCs w:val="22"/>
        </w:rPr>
      </w:pPr>
      <w:r w:rsidRPr="00BE616B">
        <w:rPr>
          <w:rFonts w:asciiTheme="majorHAnsi" w:hAnsiTheme="majorHAnsi" w:cs="Verdana"/>
          <w:color w:val="171717"/>
          <w:sz w:val="22"/>
          <w:szCs w:val="22"/>
        </w:rPr>
        <w:t xml:space="preserve">In 1995, </w:t>
      </w:r>
      <w:r w:rsidRPr="00BE616B">
        <w:rPr>
          <w:rFonts w:asciiTheme="majorHAnsi" w:hAnsiTheme="majorHAnsi" w:cs="Verdana"/>
          <w:bCs/>
          <w:color w:val="171717"/>
          <w:sz w:val="22"/>
          <w:szCs w:val="22"/>
        </w:rPr>
        <w:t xml:space="preserve">a group of experts in international law, national security, and human rights met to unpack and clarify the relationship between national security and freedom of expression.  Of their discusses emerges the Johannesburg Principles, </w:t>
      </w:r>
      <w:r w:rsidRPr="00BE616B">
        <w:rPr>
          <w:rFonts w:asciiTheme="majorHAnsi" w:hAnsiTheme="majorHAnsi" w:cs="Verdana"/>
          <w:color w:val="171717"/>
          <w:sz w:val="22"/>
          <w:szCs w:val="22"/>
        </w:rPr>
        <w:t>based on international and regional law and standards relating to the protection of human rights, evol</w:t>
      </w:r>
      <w:r w:rsidR="001C7A13">
        <w:rPr>
          <w:rFonts w:asciiTheme="majorHAnsi" w:hAnsiTheme="majorHAnsi" w:cs="Verdana"/>
          <w:color w:val="171717"/>
          <w:sz w:val="22"/>
          <w:szCs w:val="22"/>
        </w:rPr>
        <w:t>ving state practice (as reflect</w:t>
      </w:r>
      <w:r w:rsidRPr="00BE616B">
        <w:rPr>
          <w:rFonts w:asciiTheme="majorHAnsi" w:hAnsiTheme="majorHAnsi" w:cs="Verdana"/>
          <w:color w:val="171717"/>
          <w:sz w:val="22"/>
          <w:szCs w:val="22"/>
        </w:rPr>
        <w:t>ed, inter alia, in judgments of national courts), and the general principles of law recognized by the community of nations</w:t>
      </w:r>
      <w:r w:rsidR="0079321B">
        <w:rPr>
          <w:rStyle w:val="FootnoteReference"/>
          <w:rFonts w:asciiTheme="majorHAnsi" w:hAnsiTheme="majorHAnsi" w:cs="Verdana"/>
          <w:color w:val="171717"/>
          <w:sz w:val="22"/>
          <w:szCs w:val="22"/>
        </w:rPr>
        <w:footnoteReference w:id="27"/>
      </w:r>
      <w:r w:rsidRPr="00BE616B">
        <w:rPr>
          <w:rFonts w:asciiTheme="majorHAnsi" w:hAnsiTheme="majorHAnsi" w:cs="Verdana"/>
          <w:color w:val="171717"/>
          <w:sz w:val="22"/>
          <w:szCs w:val="22"/>
        </w:rPr>
        <w:t>.</w:t>
      </w:r>
    </w:p>
    <w:p w14:paraId="57C00E65" w14:textId="77777777" w:rsidR="00BE616B" w:rsidRDefault="00BE616B" w:rsidP="00BE616B">
      <w:pPr>
        <w:jc w:val="both"/>
        <w:rPr>
          <w:rFonts w:asciiTheme="majorHAnsi" w:hAnsiTheme="majorHAnsi" w:cs="Verdana"/>
          <w:color w:val="171717"/>
          <w:sz w:val="22"/>
          <w:szCs w:val="22"/>
        </w:rPr>
      </w:pPr>
    </w:p>
    <w:p w14:paraId="18CBC0CA" w14:textId="0BCD530C" w:rsidR="00BE616B" w:rsidRPr="00BE616B" w:rsidRDefault="00BE616B" w:rsidP="00BE616B">
      <w:pPr>
        <w:jc w:val="both"/>
        <w:rPr>
          <w:rFonts w:asciiTheme="majorHAnsi" w:hAnsiTheme="majorHAnsi" w:cs="Verdana"/>
          <w:color w:val="171717"/>
          <w:sz w:val="22"/>
          <w:szCs w:val="22"/>
        </w:rPr>
      </w:pPr>
      <w:r w:rsidRPr="00BE616B">
        <w:rPr>
          <w:rFonts w:asciiTheme="majorHAnsi" w:hAnsiTheme="majorHAnsi" w:cs="Verdana"/>
          <w:color w:val="171717"/>
          <w:sz w:val="22"/>
          <w:szCs w:val="22"/>
        </w:rPr>
        <w:t xml:space="preserve">These Principles acknowledge the enduring applicability of the </w:t>
      </w:r>
      <w:proofErr w:type="spellStart"/>
      <w:r w:rsidRPr="00BE616B">
        <w:rPr>
          <w:rFonts w:asciiTheme="majorHAnsi" w:hAnsiTheme="majorHAnsi" w:cs="Verdana"/>
          <w:color w:val="171717"/>
          <w:sz w:val="22"/>
          <w:szCs w:val="22"/>
        </w:rPr>
        <w:t>Siracusa</w:t>
      </w:r>
      <w:proofErr w:type="spellEnd"/>
      <w:r w:rsidRPr="00BE616B">
        <w:rPr>
          <w:rFonts w:asciiTheme="majorHAnsi" w:hAnsiTheme="majorHAnsi" w:cs="Verdana"/>
          <w:color w:val="171717"/>
          <w:sz w:val="22"/>
          <w:szCs w:val="22"/>
        </w:rPr>
        <w:t xml:space="preserve"> Principles on the Limitation and Derogation Provisions in the International Covenant on Civil and Political Rights and the Paris Minimum Standards of Human Rights Norms In a State of Emergency.</w:t>
      </w:r>
    </w:p>
    <w:p w14:paraId="01700949" w14:textId="77777777" w:rsidR="00BE616B" w:rsidRDefault="00BE616B" w:rsidP="00BE616B">
      <w:pPr>
        <w:jc w:val="both"/>
        <w:rPr>
          <w:rFonts w:asciiTheme="majorHAnsi" w:hAnsiTheme="majorHAnsi" w:cs="Verdana"/>
          <w:color w:val="171717"/>
        </w:rPr>
      </w:pPr>
    </w:p>
    <w:p w14:paraId="63428F89" w14:textId="647DD814" w:rsidR="00205AC7" w:rsidRPr="00BE616B" w:rsidRDefault="00BE616B" w:rsidP="00BE616B">
      <w:pPr>
        <w:jc w:val="both"/>
        <w:rPr>
          <w:rFonts w:asciiTheme="majorHAnsi" w:hAnsiTheme="majorHAnsi"/>
          <w:bCs/>
          <w:sz w:val="22"/>
          <w:szCs w:val="22"/>
        </w:rPr>
      </w:pPr>
      <w:r>
        <w:rPr>
          <w:rFonts w:asciiTheme="majorHAnsi" w:hAnsiTheme="majorHAnsi" w:cs="Verdana"/>
          <w:color w:val="171717"/>
          <w:sz w:val="22"/>
          <w:szCs w:val="22"/>
        </w:rPr>
        <w:t>The Principles</w:t>
      </w:r>
      <w:r w:rsidR="00CF478C" w:rsidRPr="00BE616B">
        <w:rPr>
          <w:rFonts w:asciiTheme="majorHAnsi" w:hAnsiTheme="majorHAnsi" w:cs="Verdana"/>
          <w:color w:val="171717"/>
          <w:sz w:val="22"/>
          <w:szCs w:val="22"/>
        </w:rPr>
        <w:t xml:space="preserve"> provide that a restriction is not legitimate unless its purpose and effect is: </w:t>
      </w:r>
    </w:p>
    <w:p w14:paraId="0B8966BF" w14:textId="77777777" w:rsidR="00205AC7" w:rsidRPr="00BE616B" w:rsidRDefault="00205AC7" w:rsidP="00BE616B">
      <w:pPr>
        <w:jc w:val="both"/>
        <w:rPr>
          <w:rFonts w:asciiTheme="majorHAnsi" w:hAnsiTheme="majorHAnsi"/>
          <w:bCs/>
          <w:sz w:val="22"/>
          <w:szCs w:val="22"/>
        </w:rPr>
      </w:pPr>
    </w:p>
    <w:p w14:paraId="3137570C" w14:textId="77777777" w:rsidR="00205AC7" w:rsidRPr="00BE616B" w:rsidRDefault="00205AC7" w:rsidP="00BE616B">
      <w:pPr>
        <w:ind w:left="720"/>
        <w:jc w:val="both"/>
        <w:rPr>
          <w:rFonts w:asciiTheme="majorHAnsi" w:hAnsiTheme="majorHAnsi"/>
          <w:bCs/>
          <w:sz w:val="22"/>
          <w:szCs w:val="22"/>
        </w:rPr>
      </w:pPr>
      <w:r w:rsidRPr="00BE616B">
        <w:rPr>
          <w:rFonts w:asciiTheme="majorHAnsi" w:hAnsiTheme="majorHAnsi"/>
          <w:bCs/>
          <w:sz w:val="22"/>
          <w:szCs w:val="22"/>
        </w:rPr>
        <w:t>"</w:t>
      </w:r>
      <w:proofErr w:type="gramStart"/>
      <w:r w:rsidRPr="002F0AFF">
        <w:rPr>
          <w:rFonts w:asciiTheme="majorHAnsi" w:hAnsiTheme="majorHAnsi"/>
          <w:bCs/>
          <w:i/>
          <w:sz w:val="22"/>
          <w:szCs w:val="22"/>
        </w:rPr>
        <w:t>to</w:t>
      </w:r>
      <w:proofErr w:type="gramEnd"/>
      <w:r w:rsidRPr="002F0AFF">
        <w:rPr>
          <w:rFonts w:asciiTheme="majorHAnsi" w:hAnsiTheme="majorHAnsi"/>
          <w:bCs/>
          <w:i/>
          <w:sz w:val="22"/>
          <w:szCs w:val="22"/>
        </w:rPr>
        <w:t xml:space="preserve"> protect a country's existence or its territorial integrity against the use or threat of force, or its capacity to respond to the use or threat of force, whether from an external source, such as a military threat, or an internal source, such as incitement to violent overthrow of the government."</w:t>
      </w:r>
      <w:r w:rsidRPr="002F0AFF">
        <w:rPr>
          <w:rStyle w:val="FootnoteReference"/>
          <w:rFonts w:asciiTheme="majorHAnsi" w:hAnsiTheme="majorHAnsi"/>
          <w:bCs/>
          <w:i/>
          <w:sz w:val="22"/>
          <w:szCs w:val="22"/>
        </w:rPr>
        <w:footnoteReference w:id="28"/>
      </w:r>
    </w:p>
    <w:p w14:paraId="4AD75C58" w14:textId="77777777" w:rsidR="00BE616B" w:rsidRDefault="00BE616B" w:rsidP="00BE616B">
      <w:pPr>
        <w:widowControl w:val="0"/>
        <w:autoSpaceDE w:val="0"/>
        <w:autoSpaceDN w:val="0"/>
        <w:adjustRightInd w:val="0"/>
        <w:jc w:val="both"/>
        <w:rPr>
          <w:rFonts w:asciiTheme="majorHAnsi" w:hAnsiTheme="majorHAnsi" w:cs="Verdana"/>
          <w:color w:val="171717"/>
          <w:sz w:val="22"/>
          <w:szCs w:val="22"/>
        </w:rPr>
      </w:pPr>
    </w:p>
    <w:p w14:paraId="7FA4B0DB" w14:textId="77777777" w:rsidR="00CF478C" w:rsidRPr="00BE616B" w:rsidRDefault="00CF478C" w:rsidP="00BE616B">
      <w:pPr>
        <w:widowControl w:val="0"/>
        <w:autoSpaceDE w:val="0"/>
        <w:autoSpaceDN w:val="0"/>
        <w:adjustRightInd w:val="0"/>
        <w:jc w:val="both"/>
        <w:rPr>
          <w:rFonts w:asciiTheme="majorHAnsi" w:hAnsiTheme="majorHAnsi" w:cs="Verdana"/>
          <w:color w:val="171717"/>
          <w:sz w:val="22"/>
          <w:szCs w:val="22"/>
        </w:rPr>
      </w:pPr>
      <w:r w:rsidRPr="00BE616B">
        <w:rPr>
          <w:rFonts w:asciiTheme="majorHAnsi" w:hAnsiTheme="majorHAnsi" w:cs="Verdana"/>
          <w:color w:val="171717"/>
          <w:sz w:val="22"/>
          <w:szCs w:val="22"/>
        </w:rPr>
        <w:t>The key test for restrictions on freedom of expression in the name of national security is set out in Principle 6, which subject to other principles, prohibits restrictions on expression unless:</w:t>
      </w:r>
    </w:p>
    <w:p w14:paraId="6C21B9AB" w14:textId="77777777" w:rsidR="00CF478C" w:rsidRPr="002F0AFF" w:rsidRDefault="00B20722" w:rsidP="00BE616B">
      <w:pPr>
        <w:pStyle w:val="ListParagraph"/>
        <w:widowControl w:val="0"/>
        <w:numPr>
          <w:ilvl w:val="0"/>
          <w:numId w:val="2"/>
        </w:numPr>
        <w:autoSpaceDE w:val="0"/>
        <w:autoSpaceDN w:val="0"/>
        <w:adjustRightInd w:val="0"/>
        <w:ind w:left="0" w:firstLine="0"/>
        <w:jc w:val="both"/>
        <w:rPr>
          <w:rFonts w:asciiTheme="majorHAnsi" w:hAnsiTheme="majorHAnsi" w:cs="Verdana"/>
          <w:b/>
          <w:color w:val="171717"/>
          <w:sz w:val="22"/>
          <w:szCs w:val="22"/>
        </w:rPr>
      </w:pPr>
      <w:r w:rsidRPr="002F0AFF">
        <w:rPr>
          <w:rFonts w:asciiTheme="majorHAnsi" w:hAnsiTheme="majorHAnsi" w:cs="Verdana"/>
          <w:b/>
          <w:color w:val="171717"/>
          <w:sz w:val="22"/>
          <w:szCs w:val="22"/>
        </w:rPr>
        <w:t>T</w:t>
      </w:r>
      <w:r w:rsidR="00CF478C" w:rsidRPr="002F0AFF">
        <w:rPr>
          <w:rFonts w:asciiTheme="majorHAnsi" w:hAnsiTheme="majorHAnsi" w:cs="Verdana"/>
          <w:b/>
          <w:color w:val="171717"/>
          <w:sz w:val="22"/>
          <w:szCs w:val="22"/>
        </w:rPr>
        <w:t>he expression is intended to incite imminent violence;</w:t>
      </w:r>
    </w:p>
    <w:p w14:paraId="64DCB58D" w14:textId="77777777" w:rsidR="00CF478C" w:rsidRDefault="00B20722" w:rsidP="00BE616B">
      <w:pPr>
        <w:pStyle w:val="ListParagraph"/>
        <w:widowControl w:val="0"/>
        <w:numPr>
          <w:ilvl w:val="0"/>
          <w:numId w:val="2"/>
        </w:numPr>
        <w:autoSpaceDE w:val="0"/>
        <w:autoSpaceDN w:val="0"/>
        <w:adjustRightInd w:val="0"/>
        <w:ind w:left="0" w:firstLine="0"/>
        <w:jc w:val="both"/>
        <w:rPr>
          <w:rFonts w:asciiTheme="majorHAnsi" w:hAnsiTheme="majorHAnsi" w:cs="Verdana"/>
          <w:b/>
          <w:color w:val="171717"/>
          <w:sz w:val="22"/>
          <w:szCs w:val="22"/>
        </w:rPr>
      </w:pPr>
      <w:r w:rsidRPr="002F0AFF">
        <w:rPr>
          <w:rFonts w:asciiTheme="majorHAnsi" w:hAnsiTheme="majorHAnsi" w:cs="Verdana"/>
          <w:b/>
          <w:color w:val="171717"/>
          <w:sz w:val="22"/>
          <w:szCs w:val="22"/>
        </w:rPr>
        <w:t>I</w:t>
      </w:r>
      <w:r w:rsidR="00CF478C" w:rsidRPr="002F0AFF">
        <w:rPr>
          <w:rFonts w:asciiTheme="majorHAnsi" w:hAnsiTheme="majorHAnsi" w:cs="Verdana"/>
          <w:b/>
          <w:color w:val="171717"/>
          <w:sz w:val="22"/>
          <w:szCs w:val="22"/>
        </w:rPr>
        <w:t>t is likely to incite such violence; and</w:t>
      </w:r>
    </w:p>
    <w:p w14:paraId="022DD9BD" w14:textId="77777777" w:rsidR="00CF478C" w:rsidRPr="00EA2A9A" w:rsidRDefault="00B20722" w:rsidP="00EA2A9A">
      <w:pPr>
        <w:pStyle w:val="ListParagraph"/>
        <w:widowControl w:val="0"/>
        <w:numPr>
          <w:ilvl w:val="0"/>
          <w:numId w:val="2"/>
        </w:numPr>
        <w:autoSpaceDE w:val="0"/>
        <w:autoSpaceDN w:val="0"/>
        <w:adjustRightInd w:val="0"/>
        <w:ind w:left="0" w:firstLine="0"/>
        <w:jc w:val="both"/>
        <w:rPr>
          <w:rFonts w:asciiTheme="majorHAnsi" w:hAnsiTheme="majorHAnsi" w:cs="Verdana"/>
          <w:b/>
          <w:color w:val="171717"/>
          <w:sz w:val="22"/>
          <w:szCs w:val="22"/>
        </w:rPr>
      </w:pPr>
      <w:r w:rsidRPr="00EA2A9A">
        <w:rPr>
          <w:rFonts w:asciiTheme="majorHAnsi" w:hAnsiTheme="majorHAnsi" w:cs="Verdana"/>
          <w:b/>
          <w:color w:val="171717"/>
          <w:sz w:val="22"/>
          <w:szCs w:val="22"/>
        </w:rPr>
        <w:t>T</w:t>
      </w:r>
      <w:r w:rsidR="00CF478C" w:rsidRPr="00EA2A9A">
        <w:rPr>
          <w:rFonts w:asciiTheme="majorHAnsi" w:hAnsiTheme="majorHAnsi" w:cs="Verdana"/>
          <w:b/>
          <w:color w:val="171717"/>
          <w:sz w:val="22"/>
          <w:szCs w:val="22"/>
        </w:rPr>
        <w:t>here is a direct and immediate connection between the expression and the likelihood or occurrence of such violence.</w:t>
      </w:r>
    </w:p>
    <w:p w14:paraId="3406D046" w14:textId="77777777" w:rsidR="00205AC7" w:rsidRPr="00BE616B" w:rsidRDefault="00205AC7" w:rsidP="00BE616B">
      <w:pPr>
        <w:jc w:val="both"/>
        <w:rPr>
          <w:rFonts w:asciiTheme="majorHAnsi" w:hAnsiTheme="majorHAnsi"/>
          <w:sz w:val="22"/>
          <w:szCs w:val="22"/>
        </w:rPr>
      </w:pPr>
    </w:p>
    <w:p w14:paraId="0470D225" w14:textId="77777777" w:rsidR="00B20722" w:rsidRPr="00BE616B" w:rsidRDefault="00B20722" w:rsidP="00BE616B">
      <w:pPr>
        <w:jc w:val="both"/>
        <w:rPr>
          <w:rFonts w:asciiTheme="majorHAnsi" w:hAnsiTheme="majorHAnsi"/>
          <w:i/>
          <w:sz w:val="22"/>
          <w:szCs w:val="22"/>
        </w:rPr>
      </w:pPr>
      <w:r w:rsidRPr="00BE616B">
        <w:rPr>
          <w:rFonts w:asciiTheme="majorHAnsi" w:hAnsiTheme="majorHAnsi" w:cs="Verdana"/>
          <w:color w:val="171717"/>
          <w:sz w:val="22"/>
          <w:szCs w:val="22"/>
        </w:rPr>
        <w:t xml:space="preserve">Principles 7-9 set out a number of specific examples of expression that shall not be considered a threat to national security, including: </w:t>
      </w:r>
      <w:r w:rsidRPr="00BE616B">
        <w:rPr>
          <w:rFonts w:asciiTheme="majorHAnsi" w:hAnsiTheme="majorHAnsi" w:cs="Verdana"/>
          <w:i/>
          <w:color w:val="171717"/>
          <w:sz w:val="22"/>
          <w:szCs w:val="22"/>
        </w:rPr>
        <w:t>“</w:t>
      </w:r>
      <w:r w:rsidRPr="00BE616B">
        <w:rPr>
          <w:rFonts w:asciiTheme="majorHAnsi" w:hAnsiTheme="majorHAnsi"/>
          <w:i/>
          <w:sz w:val="22"/>
          <w:szCs w:val="22"/>
        </w:rPr>
        <w:t>"to protect a government from embarrassment or exposure of wrongdoing, or to conceal information about the functioning of its public institutions, or to entrench a particular ideology, or to suppress industrial unrest."</w:t>
      </w:r>
      <w:r w:rsidRPr="00BE616B">
        <w:rPr>
          <w:rStyle w:val="FootnoteReference"/>
          <w:rFonts w:asciiTheme="majorHAnsi" w:hAnsiTheme="majorHAnsi"/>
          <w:i/>
          <w:sz w:val="22"/>
          <w:szCs w:val="22"/>
        </w:rPr>
        <w:footnoteReference w:id="29"/>
      </w:r>
    </w:p>
    <w:p w14:paraId="773A8F35" w14:textId="77777777" w:rsidR="00B20722" w:rsidRPr="00BE616B" w:rsidRDefault="00B20722" w:rsidP="00BE616B">
      <w:pPr>
        <w:jc w:val="both"/>
        <w:rPr>
          <w:rFonts w:asciiTheme="majorHAnsi" w:hAnsiTheme="majorHAnsi" w:cs="Verdana"/>
          <w:color w:val="171717"/>
          <w:sz w:val="22"/>
          <w:szCs w:val="22"/>
        </w:rPr>
      </w:pPr>
    </w:p>
    <w:p w14:paraId="0D2AFC96" w14:textId="32C670F3" w:rsidR="0034695E" w:rsidRDefault="00CA52FD" w:rsidP="0034695E">
      <w:pPr>
        <w:widowControl w:val="0"/>
        <w:tabs>
          <w:tab w:val="left" w:pos="220"/>
          <w:tab w:val="left" w:pos="720"/>
        </w:tabs>
        <w:autoSpaceDE w:val="0"/>
        <w:autoSpaceDN w:val="0"/>
        <w:adjustRightInd w:val="0"/>
        <w:jc w:val="both"/>
        <w:rPr>
          <w:rFonts w:asciiTheme="majorHAnsi" w:hAnsiTheme="majorHAnsi" w:cs="Times New Roman"/>
          <w:sz w:val="22"/>
          <w:szCs w:val="22"/>
        </w:rPr>
      </w:pPr>
      <w:r w:rsidRPr="00BE616B">
        <w:rPr>
          <w:rFonts w:asciiTheme="majorHAnsi" w:hAnsiTheme="majorHAnsi" w:cs="Times New Roman"/>
          <w:sz w:val="22"/>
          <w:szCs w:val="22"/>
        </w:rPr>
        <w:t>Principle 15(1) states that “no person may be punished on national security grounds for disclosure of information if (1) the disclosure does not actually harm and is not likely to harm a legitimate national security interest”.  </w:t>
      </w:r>
    </w:p>
    <w:p w14:paraId="01E7F791" w14:textId="77777777" w:rsidR="0034695E" w:rsidRPr="0034695E" w:rsidRDefault="0034695E" w:rsidP="0034695E">
      <w:pPr>
        <w:widowControl w:val="0"/>
        <w:tabs>
          <w:tab w:val="left" w:pos="220"/>
          <w:tab w:val="left" w:pos="720"/>
        </w:tabs>
        <w:autoSpaceDE w:val="0"/>
        <w:autoSpaceDN w:val="0"/>
        <w:adjustRightInd w:val="0"/>
        <w:jc w:val="both"/>
        <w:rPr>
          <w:rFonts w:asciiTheme="majorHAnsi" w:hAnsiTheme="majorHAnsi" w:cs="Times New Roman"/>
          <w:sz w:val="22"/>
          <w:szCs w:val="22"/>
        </w:rPr>
      </w:pPr>
    </w:p>
    <w:tbl>
      <w:tblPr>
        <w:tblStyle w:val="TableGrid"/>
        <w:tblW w:w="0" w:type="auto"/>
        <w:tblLook w:val="04A0" w:firstRow="1" w:lastRow="0" w:firstColumn="1" w:lastColumn="0" w:noHBand="0" w:noVBand="1"/>
      </w:tblPr>
      <w:tblGrid>
        <w:gridCol w:w="8856"/>
      </w:tblGrid>
      <w:tr w:rsidR="0034695E" w14:paraId="76E7B98E" w14:textId="77777777" w:rsidTr="006D6209">
        <w:tc>
          <w:tcPr>
            <w:tcW w:w="8856" w:type="dxa"/>
            <w:shd w:val="clear" w:color="auto" w:fill="BFBFBF" w:themeFill="background1" w:themeFillShade="BF"/>
          </w:tcPr>
          <w:p w14:paraId="1D366567" w14:textId="77777777" w:rsidR="0034695E" w:rsidRPr="006D6209" w:rsidRDefault="0034695E" w:rsidP="006D6209">
            <w:pPr>
              <w:widowControl w:val="0"/>
              <w:shd w:val="clear" w:color="auto" w:fill="BFBFBF" w:themeFill="background1" w:themeFillShade="BF"/>
              <w:tabs>
                <w:tab w:val="left" w:pos="220"/>
                <w:tab w:val="left" w:pos="720"/>
              </w:tabs>
              <w:autoSpaceDE w:val="0"/>
              <w:autoSpaceDN w:val="0"/>
              <w:adjustRightInd w:val="0"/>
              <w:spacing w:after="293"/>
              <w:jc w:val="center"/>
              <w:rPr>
                <w:rFonts w:asciiTheme="majorHAnsi" w:hAnsiTheme="majorHAnsi"/>
                <w:b/>
              </w:rPr>
            </w:pPr>
            <w:r w:rsidRPr="006D6209">
              <w:rPr>
                <w:rFonts w:asciiTheme="majorHAnsi" w:hAnsiTheme="majorHAnsi"/>
                <w:b/>
              </w:rPr>
              <w:t>Terrorism and Counter-Terrorism</w:t>
            </w:r>
          </w:p>
          <w:p w14:paraId="4ADCF084" w14:textId="77777777" w:rsidR="0034695E" w:rsidRPr="006D6209" w:rsidRDefault="0034695E" w:rsidP="006D6209">
            <w:pPr>
              <w:shd w:val="clear" w:color="auto" w:fill="BFBFBF" w:themeFill="background1" w:themeFillShade="BF"/>
              <w:jc w:val="both"/>
              <w:rPr>
                <w:rFonts w:asciiTheme="majorHAnsi" w:hAnsiTheme="majorHAnsi"/>
                <w:sz w:val="22"/>
                <w:szCs w:val="22"/>
              </w:rPr>
            </w:pPr>
            <w:r w:rsidRPr="006D6209">
              <w:rPr>
                <w:rFonts w:asciiTheme="majorHAnsi" w:hAnsiTheme="majorHAnsi" w:cs="Verdana"/>
                <w:sz w:val="22"/>
                <w:szCs w:val="22"/>
              </w:rPr>
              <w:t xml:space="preserve">In 2005, </w:t>
            </w:r>
            <w:r w:rsidRPr="006D6209">
              <w:rPr>
                <w:rFonts w:asciiTheme="majorHAnsi" w:hAnsiTheme="majorHAnsi"/>
                <w:sz w:val="22"/>
                <w:szCs w:val="22"/>
              </w:rPr>
              <w:t xml:space="preserve">the UN Security Council has adopted Resolution 1624 which calls upon all States to adopt such measures as may be necessary and appropriate and in accordance with their obligations under international law to: </w:t>
            </w:r>
          </w:p>
          <w:p w14:paraId="1903D877" w14:textId="77777777" w:rsidR="0034695E" w:rsidRPr="006D6209" w:rsidRDefault="0034695E" w:rsidP="006D6209">
            <w:pPr>
              <w:shd w:val="clear" w:color="auto" w:fill="BFBFBF" w:themeFill="background1" w:themeFillShade="BF"/>
              <w:tabs>
                <w:tab w:val="left" w:pos="1080"/>
              </w:tabs>
              <w:ind w:left="1080" w:hanging="360"/>
              <w:jc w:val="both"/>
              <w:rPr>
                <w:rFonts w:asciiTheme="majorHAnsi" w:hAnsiTheme="majorHAnsi"/>
                <w:sz w:val="22"/>
                <w:szCs w:val="22"/>
              </w:rPr>
            </w:pPr>
            <w:r w:rsidRPr="006D6209">
              <w:rPr>
                <w:rFonts w:asciiTheme="majorHAnsi" w:hAnsiTheme="majorHAnsi"/>
                <w:sz w:val="22"/>
                <w:szCs w:val="22"/>
              </w:rPr>
              <w:t xml:space="preserve">(a) Prohibit by law incitement to commit a terrorist act or acts; </w:t>
            </w:r>
          </w:p>
          <w:p w14:paraId="4393FEE8" w14:textId="77777777" w:rsidR="0034695E" w:rsidRPr="006D6209" w:rsidRDefault="0034695E" w:rsidP="006D6209">
            <w:pPr>
              <w:shd w:val="clear" w:color="auto" w:fill="BFBFBF" w:themeFill="background1" w:themeFillShade="BF"/>
              <w:tabs>
                <w:tab w:val="left" w:pos="1080"/>
              </w:tabs>
              <w:ind w:left="1080" w:hanging="360"/>
              <w:jc w:val="both"/>
              <w:rPr>
                <w:rFonts w:asciiTheme="majorHAnsi" w:hAnsiTheme="majorHAnsi"/>
                <w:sz w:val="22"/>
                <w:szCs w:val="22"/>
              </w:rPr>
            </w:pPr>
            <w:r w:rsidRPr="006D6209">
              <w:rPr>
                <w:rFonts w:asciiTheme="majorHAnsi" w:hAnsiTheme="majorHAnsi"/>
                <w:sz w:val="22"/>
                <w:szCs w:val="22"/>
              </w:rPr>
              <w:t xml:space="preserve">(b) Prevent such conduct; </w:t>
            </w:r>
          </w:p>
          <w:p w14:paraId="1FA6F488" w14:textId="77777777" w:rsidR="0034695E" w:rsidRPr="006D6209" w:rsidRDefault="0034695E" w:rsidP="006D6209">
            <w:pPr>
              <w:shd w:val="clear" w:color="auto" w:fill="BFBFBF" w:themeFill="background1" w:themeFillShade="BF"/>
              <w:tabs>
                <w:tab w:val="left" w:pos="1080"/>
              </w:tabs>
              <w:ind w:left="1080" w:hanging="360"/>
              <w:jc w:val="both"/>
              <w:rPr>
                <w:rFonts w:asciiTheme="majorHAnsi" w:hAnsiTheme="majorHAnsi"/>
                <w:sz w:val="22"/>
                <w:szCs w:val="22"/>
              </w:rPr>
            </w:pPr>
            <w:r w:rsidRPr="006D6209">
              <w:rPr>
                <w:rFonts w:asciiTheme="majorHAnsi" w:hAnsiTheme="majorHAnsi"/>
                <w:sz w:val="22"/>
                <w:szCs w:val="22"/>
              </w:rPr>
              <w:t xml:space="preserve">(c) Deny safe haven to any persons with respect to whom there is credible and relevant information giving serious reasons for considering that they have been guilty of such conduct. </w:t>
            </w:r>
          </w:p>
          <w:p w14:paraId="0B731165" w14:textId="77777777" w:rsidR="0034695E" w:rsidRPr="006D6209" w:rsidRDefault="0034695E" w:rsidP="006D6209">
            <w:pPr>
              <w:pStyle w:val="NormalWeb"/>
              <w:shd w:val="clear" w:color="auto" w:fill="BFBFBF" w:themeFill="background1" w:themeFillShade="BF"/>
              <w:spacing w:before="0" w:beforeAutospacing="0" w:after="0" w:afterAutospacing="0"/>
              <w:jc w:val="both"/>
              <w:rPr>
                <w:rFonts w:asciiTheme="majorHAnsi" w:hAnsiTheme="majorHAnsi" w:cstheme="minorBidi"/>
                <w:b/>
                <w:sz w:val="22"/>
                <w:szCs w:val="22"/>
              </w:rPr>
            </w:pPr>
          </w:p>
          <w:p w14:paraId="5CEBDE94" w14:textId="60DC2074" w:rsidR="002B0D7B" w:rsidRPr="006D6209" w:rsidRDefault="002B0D7B" w:rsidP="006D6209">
            <w:pPr>
              <w:pStyle w:val="NormalWeb"/>
              <w:shd w:val="clear" w:color="auto" w:fill="BFBFBF" w:themeFill="background1" w:themeFillShade="BF"/>
              <w:spacing w:before="0" w:beforeAutospacing="0" w:after="0" w:afterAutospacing="0"/>
              <w:jc w:val="both"/>
              <w:rPr>
                <w:rFonts w:asciiTheme="majorHAnsi" w:hAnsiTheme="majorHAnsi"/>
                <w:b/>
                <w:sz w:val="22"/>
                <w:szCs w:val="22"/>
              </w:rPr>
            </w:pPr>
            <w:r w:rsidRPr="006D6209">
              <w:rPr>
                <w:rFonts w:asciiTheme="majorHAnsi" w:hAnsiTheme="majorHAnsi"/>
                <w:b/>
                <w:sz w:val="22"/>
                <w:szCs w:val="22"/>
              </w:rPr>
              <w:t xml:space="preserve">The main problem with legal restrictions on incitement to terrorism is the absence of an </w:t>
            </w:r>
            <w:proofErr w:type="gramStart"/>
            <w:r w:rsidRPr="006D6209">
              <w:rPr>
                <w:rFonts w:asciiTheme="majorHAnsi" w:hAnsiTheme="majorHAnsi"/>
                <w:b/>
                <w:sz w:val="22"/>
                <w:szCs w:val="22"/>
              </w:rPr>
              <w:t>internationally-recognized</w:t>
            </w:r>
            <w:proofErr w:type="gramEnd"/>
            <w:r w:rsidRPr="006D6209">
              <w:rPr>
                <w:rFonts w:asciiTheme="majorHAnsi" w:hAnsiTheme="majorHAnsi"/>
                <w:b/>
                <w:sz w:val="22"/>
                <w:szCs w:val="22"/>
              </w:rPr>
              <w:t xml:space="preserve"> definition of terrorism in international law.</w:t>
            </w:r>
          </w:p>
          <w:p w14:paraId="77D5F381" w14:textId="77777777" w:rsidR="002B0D7B" w:rsidRPr="006D6209" w:rsidRDefault="002B0D7B" w:rsidP="006D6209">
            <w:pPr>
              <w:pStyle w:val="NormalWeb"/>
              <w:shd w:val="clear" w:color="auto" w:fill="BFBFBF" w:themeFill="background1" w:themeFillShade="BF"/>
              <w:spacing w:before="0" w:beforeAutospacing="0" w:after="0" w:afterAutospacing="0"/>
              <w:jc w:val="both"/>
              <w:rPr>
                <w:rFonts w:asciiTheme="majorHAnsi" w:hAnsiTheme="majorHAnsi" w:cstheme="minorBidi"/>
                <w:b/>
                <w:sz w:val="22"/>
                <w:szCs w:val="22"/>
              </w:rPr>
            </w:pPr>
          </w:p>
          <w:p w14:paraId="37EA427F" w14:textId="77777777" w:rsidR="0034695E" w:rsidRPr="006D6209" w:rsidRDefault="0034695E" w:rsidP="006D6209">
            <w:pPr>
              <w:pStyle w:val="NormalWeb"/>
              <w:shd w:val="clear" w:color="auto" w:fill="BFBFBF" w:themeFill="background1" w:themeFillShade="BF"/>
              <w:spacing w:before="0" w:beforeAutospacing="0" w:after="0" w:afterAutospacing="0"/>
              <w:jc w:val="both"/>
              <w:rPr>
                <w:rFonts w:asciiTheme="majorHAnsi" w:hAnsiTheme="majorHAnsi"/>
                <w:sz w:val="22"/>
                <w:szCs w:val="22"/>
              </w:rPr>
            </w:pPr>
            <w:r w:rsidRPr="006D6209">
              <w:rPr>
                <w:rFonts w:asciiTheme="majorHAnsi" w:hAnsiTheme="majorHAnsi"/>
                <w:sz w:val="22"/>
                <w:szCs w:val="22"/>
              </w:rPr>
              <w:t>According to a Human Rights Watch 2012 report, more than 140 countries have passed counterterrorism laws since the attacks of 11 September 2001. Human Rights Watch</w:t>
            </w:r>
            <w:r w:rsidRPr="0034695E">
              <w:rPr>
                <w:rFonts w:asciiTheme="majorHAnsi" w:hAnsiTheme="majorHAnsi"/>
                <w:sz w:val="24"/>
                <w:szCs w:val="24"/>
              </w:rPr>
              <w:t xml:space="preserve"> reviewed </w:t>
            </w:r>
            <w:r w:rsidRPr="006D6209">
              <w:rPr>
                <w:rFonts w:asciiTheme="majorHAnsi" w:hAnsiTheme="majorHAnsi"/>
                <w:sz w:val="22"/>
                <w:szCs w:val="22"/>
              </w:rPr>
              <w:t>130 of those laws and found that all contained one or more provisions that opened the door to abuse.</w:t>
            </w:r>
            <w:r w:rsidRPr="006D6209">
              <w:rPr>
                <w:rStyle w:val="FootnoteReference"/>
                <w:rFonts w:asciiTheme="majorHAnsi" w:hAnsiTheme="majorHAnsi"/>
                <w:sz w:val="22"/>
                <w:szCs w:val="22"/>
              </w:rPr>
              <w:footnoteReference w:id="30"/>
            </w:r>
            <w:r w:rsidRPr="006D6209">
              <w:rPr>
                <w:rFonts w:asciiTheme="majorHAnsi" w:hAnsiTheme="majorHAnsi"/>
                <w:sz w:val="22"/>
                <w:szCs w:val="22"/>
              </w:rPr>
              <w:t xml:space="preserve"> Amongst the eight elements most likely to be abused, two were directly related to freedom of expression: </w:t>
            </w:r>
          </w:p>
          <w:p w14:paraId="4A1C88C0" w14:textId="116642A8" w:rsidR="0034695E" w:rsidRPr="006D6209" w:rsidRDefault="0034695E" w:rsidP="006D6209">
            <w:pPr>
              <w:pStyle w:val="NormalWeb"/>
              <w:numPr>
                <w:ilvl w:val="0"/>
                <w:numId w:val="16"/>
              </w:numPr>
              <w:shd w:val="clear" w:color="auto" w:fill="BFBFBF" w:themeFill="background1" w:themeFillShade="BF"/>
              <w:spacing w:before="0" w:beforeAutospacing="0" w:after="0" w:afterAutospacing="0"/>
              <w:jc w:val="both"/>
              <w:rPr>
                <w:rFonts w:asciiTheme="majorHAnsi" w:hAnsiTheme="majorHAnsi"/>
                <w:sz w:val="22"/>
                <w:szCs w:val="22"/>
              </w:rPr>
            </w:pPr>
            <w:r w:rsidRPr="006D6209">
              <w:rPr>
                <w:rFonts w:asciiTheme="majorHAnsi" w:hAnsiTheme="majorHAnsi"/>
                <w:sz w:val="22"/>
                <w:szCs w:val="22"/>
              </w:rPr>
              <w:t xml:space="preserve">Restrictions on funding and other material support to terrorism and terrorist organizations; and, </w:t>
            </w:r>
          </w:p>
          <w:p w14:paraId="5E2F8E99" w14:textId="7CC4C34B" w:rsidR="0034695E" w:rsidRPr="006D6209" w:rsidRDefault="0034695E" w:rsidP="006D6209">
            <w:pPr>
              <w:pStyle w:val="NormalWeb"/>
              <w:numPr>
                <w:ilvl w:val="0"/>
                <w:numId w:val="16"/>
              </w:numPr>
              <w:shd w:val="clear" w:color="auto" w:fill="BFBFBF" w:themeFill="background1" w:themeFillShade="BF"/>
              <w:spacing w:before="0" w:beforeAutospacing="0" w:after="0" w:afterAutospacing="0"/>
              <w:jc w:val="both"/>
              <w:rPr>
                <w:rFonts w:asciiTheme="majorHAnsi" w:hAnsiTheme="majorHAnsi"/>
                <w:sz w:val="22"/>
                <w:szCs w:val="22"/>
              </w:rPr>
            </w:pPr>
            <w:r w:rsidRPr="006D6209">
              <w:rPr>
                <w:rFonts w:asciiTheme="majorHAnsi" w:hAnsiTheme="majorHAnsi"/>
                <w:sz w:val="22"/>
                <w:szCs w:val="22"/>
              </w:rPr>
              <w:t xml:space="preserve">Limitations on expression or assembly that ostensibly encourage, </w:t>
            </w:r>
            <w:proofErr w:type="gramStart"/>
            <w:r w:rsidRPr="006D6209">
              <w:rPr>
                <w:rFonts w:asciiTheme="majorHAnsi" w:hAnsiTheme="majorHAnsi"/>
                <w:sz w:val="22"/>
                <w:szCs w:val="22"/>
              </w:rPr>
              <w:t>incite</w:t>
            </w:r>
            <w:proofErr w:type="gramEnd"/>
            <w:r w:rsidRPr="006D6209">
              <w:rPr>
                <w:rFonts w:asciiTheme="majorHAnsi" w:hAnsiTheme="majorHAnsi"/>
                <w:sz w:val="22"/>
                <w:szCs w:val="22"/>
              </w:rPr>
              <w:t xml:space="preserve">, justify, or lend support to terrorism. </w:t>
            </w:r>
          </w:p>
          <w:p w14:paraId="48C9FEC9" w14:textId="77777777" w:rsidR="0034695E" w:rsidRPr="006D6209" w:rsidRDefault="0034695E" w:rsidP="006D6209">
            <w:pPr>
              <w:pStyle w:val="NormalWeb"/>
              <w:shd w:val="clear" w:color="auto" w:fill="BFBFBF" w:themeFill="background1" w:themeFillShade="BF"/>
              <w:spacing w:before="0" w:beforeAutospacing="0" w:after="0" w:afterAutospacing="0"/>
              <w:jc w:val="both"/>
              <w:rPr>
                <w:rFonts w:asciiTheme="majorHAnsi" w:hAnsiTheme="majorHAnsi"/>
                <w:sz w:val="22"/>
                <w:szCs w:val="22"/>
              </w:rPr>
            </w:pPr>
          </w:p>
          <w:p w14:paraId="238506AA" w14:textId="77777777" w:rsidR="0034695E" w:rsidRPr="006D6209" w:rsidRDefault="0034695E" w:rsidP="006D6209">
            <w:pPr>
              <w:pStyle w:val="NormalWeb"/>
              <w:shd w:val="clear" w:color="auto" w:fill="BFBFBF" w:themeFill="background1" w:themeFillShade="BF"/>
              <w:spacing w:before="0" w:beforeAutospacing="0" w:after="0" w:afterAutospacing="0"/>
              <w:jc w:val="both"/>
              <w:rPr>
                <w:rFonts w:asciiTheme="majorHAnsi" w:hAnsiTheme="majorHAnsi"/>
                <w:sz w:val="22"/>
                <w:szCs w:val="22"/>
              </w:rPr>
            </w:pPr>
            <w:r w:rsidRPr="006D6209">
              <w:rPr>
                <w:rFonts w:asciiTheme="majorHAnsi" w:hAnsiTheme="majorHAnsi"/>
                <w:sz w:val="22"/>
                <w:szCs w:val="22"/>
              </w:rPr>
              <w:t>For instance, nearly 100 counterterrorism provisions reviewed by Human Rights Watch define material support for terrorism as a crime. Of those, 32 required neither knowledge nor intent that the support could result in a terrorism-related offense – recklessness was sufficient.</w:t>
            </w:r>
            <w:r w:rsidRPr="006D6209">
              <w:rPr>
                <w:rStyle w:val="FootnoteReference"/>
                <w:rFonts w:asciiTheme="majorHAnsi" w:hAnsiTheme="majorHAnsi"/>
                <w:sz w:val="22"/>
                <w:szCs w:val="22"/>
              </w:rPr>
              <w:footnoteReference w:id="31"/>
            </w:r>
            <w:r w:rsidRPr="006D6209">
              <w:rPr>
                <w:rFonts w:asciiTheme="majorHAnsi" w:hAnsiTheme="majorHAnsi"/>
                <w:sz w:val="22"/>
                <w:szCs w:val="22"/>
              </w:rPr>
              <w:t xml:space="preserve"> </w:t>
            </w:r>
          </w:p>
          <w:p w14:paraId="379E4628" w14:textId="77777777" w:rsidR="0034695E" w:rsidRPr="006D6209" w:rsidRDefault="0034695E" w:rsidP="006D6209">
            <w:pPr>
              <w:pStyle w:val="NormalWeb"/>
              <w:shd w:val="clear" w:color="auto" w:fill="BFBFBF" w:themeFill="background1" w:themeFillShade="BF"/>
              <w:spacing w:before="0" w:beforeAutospacing="0" w:after="0" w:afterAutospacing="0"/>
              <w:jc w:val="both"/>
              <w:rPr>
                <w:rFonts w:asciiTheme="majorHAnsi" w:hAnsiTheme="majorHAnsi"/>
                <w:sz w:val="22"/>
                <w:szCs w:val="22"/>
              </w:rPr>
            </w:pPr>
          </w:p>
          <w:p w14:paraId="16529C30" w14:textId="7AC5C9E4" w:rsidR="0034695E" w:rsidRPr="006D6209" w:rsidRDefault="0034695E" w:rsidP="006D6209">
            <w:pPr>
              <w:pStyle w:val="NormalWeb"/>
              <w:shd w:val="clear" w:color="auto" w:fill="BFBFBF" w:themeFill="background1" w:themeFillShade="BF"/>
              <w:spacing w:before="0" w:beforeAutospacing="0" w:after="0" w:afterAutospacing="0"/>
              <w:jc w:val="both"/>
              <w:rPr>
                <w:rFonts w:asciiTheme="majorHAnsi" w:hAnsiTheme="majorHAnsi"/>
                <w:sz w:val="22"/>
                <w:szCs w:val="22"/>
              </w:rPr>
            </w:pPr>
            <w:r w:rsidRPr="006D6209">
              <w:rPr>
                <w:rFonts w:asciiTheme="majorHAnsi" w:hAnsiTheme="majorHAnsi"/>
                <w:sz w:val="22"/>
                <w:szCs w:val="22"/>
              </w:rPr>
              <w:t>Hence, Russia adopted, in 2002, a law ‘On Counteracting Extremist Activity’ which was further amended in 2007 to provide for ‘an expansion of the definition of extremism, to include “hatred or hostility towards any social group” – with no definition of “social group” and punishable with imprisonment for up to five years; and new regulations on the distribution of the “extremist materials” included in a “federal list”, to be compiled by the authorities – punishable with administrative arrest and confiscation of said materials’.</w:t>
            </w:r>
            <w:r w:rsidRPr="006D6209">
              <w:rPr>
                <w:rStyle w:val="FootnoteReference"/>
                <w:rFonts w:asciiTheme="majorHAnsi" w:hAnsiTheme="majorHAnsi"/>
                <w:sz w:val="22"/>
                <w:szCs w:val="22"/>
              </w:rPr>
              <w:footnoteReference w:id="32"/>
            </w:r>
          </w:p>
          <w:p w14:paraId="694AD559" w14:textId="3B112E9F" w:rsidR="0034695E" w:rsidRPr="0034695E" w:rsidRDefault="0034695E" w:rsidP="002B0D7B">
            <w:pPr>
              <w:widowControl w:val="0"/>
              <w:tabs>
                <w:tab w:val="left" w:pos="220"/>
                <w:tab w:val="left" w:pos="720"/>
              </w:tabs>
              <w:autoSpaceDE w:val="0"/>
              <w:autoSpaceDN w:val="0"/>
              <w:adjustRightInd w:val="0"/>
              <w:spacing w:after="293"/>
              <w:rPr>
                <w:rFonts w:asciiTheme="majorHAnsi" w:hAnsiTheme="majorHAnsi"/>
                <w:b/>
                <w:sz w:val="22"/>
                <w:szCs w:val="22"/>
              </w:rPr>
            </w:pPr>
          </w:p>
        </w:tc>
      </w:tr>
    </w:tbl>
    <w:p w14:paraId="4528BCE4" w14:textId="77777777" w:rsidR="0034695E" w:rsidRDefault="0034695E" w:rsidP="00D727BE">
      <w:pPr>
        <w:widowControl w:val="0"/>
        <w:tabs>
          <w:tab w:val="left" w:pos="220"/>
          <w:tab w:val="left" w:pos="720"/>
        </w:tabs>
        <w:autoSpaceDE w:val="0"/>
        <w:autoSpaceDN w:val="0"/>
        <w:adjustRightInd w:val="0"/>
        <w:spacing w:after="293"/>
        <w:rPr>
          <w:rFonts w:asciiTheme="majorHAnsi" w:hAnsiTheme="majorHAnsi"/>
          <w:b/>
          <w:sz w:val="28"/>
          <w:szCs w:val="28"/>
          <w:u w:val="single"/>
        </w:rPr>
      </w:pPr>
    </w:p>
    <w:p w14:paraId="11222A79" w14:textId="4E91CD1A" w:rsidR="00017F9D" w:rsidRDefault="00017F9D" w:rsidP="00D727BE">
      <w:pPr>
        <w:widowControl w:val="0"/>
        <w:tabs>
          <w:tab w:val="left" w:pos="220"/>
          <w:tab w:val="left" w:pos="720"/>
        </w:tabs>
        <w:autoSpaceDE w:val="0"/>
        <w:autoSpaceDN w:val="0"/>
        <w:adjustRightInd w:val="0"/>
        <w:spacing w:after="293"/>
        <w:rPr>
          <w:rFonts w:asciiTheme="majorHAnsi" w:hAnsiTheme="majorHAnsi"/>
          <w:b/>
          <w:sz w:val="28"/>
          <w:szCs w:val="28"/>
          <w:u w:val="single"/>
        </w:rPr>
      </w:pPr>
    </w:p>
    <w:p w14:paraId="0B2895FC" w14:textId="77777777" w:rsidR="00017F9D" w:rsidRDefault="00017F9D" w:rsidP="00D727BE">
      <w:pPr>
        <w:widowControl w:val="0"/>
        <w:tabs>
          <w:tab w:val="left" w:pos="220"/>
          <w:tab w:val="left" w:pos="720"/>
        </w:tabs>
        <w:autoSpaceDE w:val="0"/>
        <w:autoSpaceDN w:val="0"/>
        <w:adjustRightInd w:val="0"/>
        <w:spacing w:after="293"/>
        <w:rPr>
          <w:rFonts w:asciiTheme="majorHAnsi" w:hAnsiTheme="majorHAnsi"/>
          <w:b/>
          <w:sz w:val="28"/>
          <w:szCs w:val="28"/>
          <w:u w:val="single"/>
        </w:rPr>
      </w:pPr>
    </w:p>
    <w:p w14:paraId="2F0E8FEF" w14:textId="77777777" w:rsidR="00017F9D" w:rsidRDefault="00017F9D" w:rsidP="00D727BE">
      <w:pPr>
        <w:widowControl w:val="0"/>
        <w:tabs>
          <w:tab w:val="left" w:pos="220"/>
          <w:tab w:val="left" w:pos="720"/>
        </w:tabs>
        <w:autoSpaceDE w:val="0"/>
        <w:autoSpaceDN w:val="0"/>
        <w:adjustRightInd w:val="0"/>
        <w:spacing w:after="293"/>
        <w:rPr>
          <w:rFonts w:asciiTheme="majorHAnsi" w:hAnsiTheme="majorHAnsi"/>
          <w:b/>
          <w:sz w:val="28"/>
          <w:szCs w:val="28"/>
          <w:u w:val="single"/>
        </w:rPr>
      </w:pPr>
    </w:p>
    <w:p w14:paraId="5CB47DD1" w14:textId="77777777" w:rsidR="00017F9D" w:rsidRDefault="00017F9D" w:rsidP="00D727BE">
      <w:pPr>
        <w:widowControl w:val="0"/>
        <w:tabs>
          <w:tab w:val="left" w:pos="220"/>
          <w:tab w:val="left" w:pos="720"/>
        </w:tabs>
        <w:autoSpaceDE w:val="0"/>
        <w:autoSpaceDN w:val="0"/>
        <w:adjustRightInd w:val="0"/>
        <w:spacing w:after="293"/>
        <w:rPr>
          <w:rFonts w:asciiTheme="majorHAnsi" w:hAnsiTheme="majorHAnsi"/>
          <w:b/>
          <w:sz w:val="28"/>
          <w:szCs w:val="28"/>
          <w:u w:val="single"/>
        </w:rPr>
      </w:pPr>
    </w:p>
    <w:p w14:paraId="134BAB65" w14:textId="77777777" w:rsidR="00017F9D" w:rsidRDefault="00017F9D" w:rsidP="00D727BE">
      <w:pPr>
        <w:widowControl w:val="0"/>
        <w:tabs>
          <w:tab w:val="left" w:pos="220"/>
          <w:tab w:val="left" w:pos="720"/>
        </w:tabs>
        <w:autoSpaceDE w:val="0"/>
        <w:autoSpaceDN w:val="0"/>
        <w:adjustRightInd w:val="0"/>
        <w:spacing w:after="293"/>
        <w:rPr>
          <w:rFonts w:asciiTheme="majorHAnsi" w:hAnsiTheme="majorHAnsi"/>
          <w:b/>
          <w:sz w:val="28"/>
          <w:szCs w:val="28"/>
          <w:u w:val="single"/>
        </w:rPr>
      </w:pPr>
    </w:p>
    <w:p w14:paraId="58FB0DD1" w14:textId="77777777" w:rsidR="00017F9D" w:rsidRDefault="00017F9D" w:rsidP="00D727BE">
      <w:pPr>
        <w:widowControl w:val="0"/>
        <w:tabs>
          <w:tab w:val="left" w:pos="220"/>
          <w:tab w:val="left" w:pos="720"/>
        </w:tabs>
        <w:autoSpaceDE w:val="0"/>
        <w:autoSpaceDN w:val="0"/>
        <w:adjustRightInd w:val="0"/>
        <w:spacing w:after="293"/>
        <w:rPr>
          <w:rFonts w:asciiTheme="majorHAnsi" w:hAnsiTheme="majorHAnsi"/>
          <w:b/>
          <w:sz w:val="28"/>
          <w:szCs w:val="28"/>
          <w:u w:val="single"/>
        </w:rPr>
      </w:pPr>
    </w:p>
    <w:p w14:paraId="324DF9BF" w14:textId="77777777" w:rsidR="00017F9D" w:rsidRDefault="00017F9D" w:rsidP="00D727BE">
      <w:pPr>
        <w:widowControl w:val="0"/>
        <w:tabs>
          <w:tab w:val="left" w:pos="220"/>
          <w:tab w:val="left" w:pos="720"/>
        </w:tabs>
        <w:autoSpaceDE w:val="0"/>
        <w:autoSpaceDN w:val="0"/>
        <w:adjustRightInd w:val="0"/>
        <w:spacing w:after="293"/>
        <w:rPr>
          <w:rFonts w:asciiTheme="majorHAnsi" w:hAnsiTheme="majorHAnsi"/>
          <w:b/>
          <w:sz w:val="28"/>
          <w:szCs w:val="28"/>
          <w:u w:val="single"/>
        </w:rPr>
      </w:pPr>
    </w:p>
    <w:p w14:paraId="309949D0" w14:textId="6B4ECBDE" w:rsidR="00B20722" w:rsidRPr="00D727BE" w:rsidRDefault="000B4EBC" w:rsidP="00D727BE">
      <w:pPr>
        <w:widowControl w:val="0"/>
        <w:tabs>
          <w:tab w:val="left" w:pos="220"/>
          <w:tab w:val="left" w:pos="720"/>
        </w:tabs>
        <w:autoSpaceDE w:val="0"/>
        <w:autoSpaceDN w:val="0"/>
        <w:adjustRightInd w:val="0"/>
        <w:spacing w:after="293"/>
        <w:rPr>
          <w:rFonts w:asciiTheme="majorHAnsi" w:hAnsiTheme="majorHAnsi" w:cs="Times New Roman"/>
        </w:rPr>
      </w:pPr>
      <w:r>
        <w:rPr>
          <w:rFonts w:asciiTheme="majorHAnsi" w:hAnsiTheme="majorHAnsi"/>
          <w:b/>
          <w:sz w:val="28"/>
          <w:szCs w:val="28"/>
          <w:u w:val="single"/>
        </w:rPr>
        <w:t>I</w:t>
      </w:r>
      <w:r w:rsidR="0044104C">
        <w:rPr>
          <w:rFonts w:asciiTheme="majorHAnsi" w:hAnsiTheme="majorHAnsi"/>
          <w:b/>
          <w:sz w:val="28"/>
          <w:szCs w:val="28"/>
          <w:u w:val="single"/>
        </w:rPr>
        <w:t xml:space="preserve">I - </w:t>
      </w:r>
      <w:r w:rsidR="007E375C" w:rsidRPr="00F3130C">
        <w:rPr>
          <w:rFonts w:asciiTheme="majorHAnsi" w:hAnsiTheme="majorHAnsi"/>
          <w:b/>
          <w:sz w:val="28"/>
          <w:szCs w:val="28"/>
          <w:u w:val="single"/>
        </w:rPr>
        <w:t>J</w:t>
      </w:r>
      <w:r w:rsidR="00F3130C" w:rsidRPr="00F3130C">
        <w:rPr>
          <w:rFonts w:asciiTheme="majorHAnsi" w:hAnsiTheme="majorHAnsi"/>
          <w:b/>
          <w:sz w:val="28"/>
          <w:szCs w:val="28"/>
          <w:u w:val="single"/>
        </w:rPr>
        <w:t>URISPRUDENCE</w:t>
      </w:r>
      <w:r w:rsidR="0079321B">
        <w:rPr>
          <w:rStyle w:val="FootnoteReference"/>
          <w:rFonts w:asciiTheme="majorHAnsi" w:hAnsiTheme="majorHAnsi"/>
          <w:b/>
          <w:sz w:val="28"/>
          <w:szCs w:val="28"/>
          <w:u w:val="single"/>
        </w:rPr>
        <w:footnoteReference w:id="33"/>
      </w:r>
    </w:p>
    <w:tbl>
      <w:tblPr>
        <w:tblStyle w:val="TableGrid"/>
        <w:tblW w:w="0" w:type="auto"/>
        <w:tblLook w:val="04A0" w:firstRow="1" w:lastRow="0" w:firstColumn="1" w:lastColumn="0" w:noHBand="0" w:noVBand="1"/>
      </w:tblPr>
      <w:tblGrid>
        <w:gridCol w:w="8856"/>
      </w:tblGrid>
      <w:tr w:rsidR="00656CFD" w14:paraId="6DC39ECD" w14:textId="77777777" w:rsidTr="00656CFD">
        <w:tc>
          <w:tcPr>
            <w:tcW w:w="8856" w:type="dxa"/>
            <w:shd w:val="clear" w:color="auto" w:fill="BFBFBF" w:themeFill="background1" w:themeFillShade="BF"/>
          </w:tcPr>
          <w:p w14:paraId="039F9315" w14:textId="44499834" w:rsidR="00656CFD" w:rsidRPr="00656CFD" w:rsidRDefault="00656CFD" w:rsidP="00656CFD">
            <w:pPr>
              <w:widowControl w:val="0"/>
              <w:tabs>
                <w:tab w:val="left" w:pos="220"/>
                <w:tab w:val="left" w:pos="720"/>
              </w:tabs>
              <w:autoSpaceDE w:val="0"/>
              <w:autoSpaceDN w:val="0"/>
              <w:adjustRightInd w:val="0"/>
              <w:jc w:val="center"/>
              <w:rPr>
                <w:rFonts w:asciiTheme="majorHAnsi" w:hAnsiTheme="majorHAnsi"/>
                <w:b/>
                <w:sz w:val="28"/>
                <w:szCs w:val="28"/>
              </w:rPr>
            </w:pPr>
            <w:r>
              <w:rPr>
                <w:rFonts w:asciiTheme="majorHAnsi" w:hAnsiTheme="majorHAnsi"/>
                <w:b/>
                <w:sz w:val="28"/>
                <w:szCs w:val="28"/>
              </w:rPr>
              <w:t>On a Free Press and N</w:t>
            </w:r>
            <w:r w:rsidRPr="00656CFD">
              <w:rPr>
                <w:rFonts w:asciiTheme="majorHAnsi" w:hAnsiTheme="majorHAnsi"/>
                <w:b/>
                <w:sz w:val="28"/>
                <w:szCs w:val="28"/>
              </w:rPr>
              <w:t>ational Security</w:t>
            </w:r>
          </w:p>
          <w:p w14:paraId="1BDA4786" w14:textId="1FF6B0AE" w:rsidR="00656CFD" w:rsidRPr="00656CFD" w:rsidRDefault="00656CFD" w:rsidP="00656CFD">
            <w:pPr>
              <w:widowControl w:val="0"/>
              <w:tabs>
                <w:tab w:val="left" w:pos="220"/>
                <w:tab w:val="left" w:pos="720"/>
              </w:tabs>
              <w:autoSpaceDE w:val="0"/>
              <w:autoSpaceDN w:val="0"/>
              <w:adjustRightInd w:val="0"/>
              <w:jc w:val="center"/>
              <w:rPr>
                <w:rFonts w:asciiTheme="majorHAnsi" w:hAnsiTheme="majorHAnsi"/>
                <w:b/>
                <w:sz w:val="28"/>
                <w:szCs w:val="28"/>
              </w:rPr>
            </w:pPr>
          </w:p>
          <w:p w14:paraId="72D4E8A4" w14:textId="77777777" w:rsidR="00656CFD" w:rsidRPr="008D3A17" w:rsidRDefault="00656CFD" w:rsidP="00656CFD">
            <w:pPr>
              <w:widowControl w:val="0"/>
              <w:tabs>
                <w:tab w:val="left" w:pos="220"/>
                <w:tab w:val="left" w:pos="720"/>
              </w:tabs>
              <w:autoSpaceDE w:val="0"/>
              <w:autoSpaceDN w:val="0"/>
              <w:adjustRightInd w:val="0"/>
              <w:jc w:val="both"/>
              <w:rPr>
                <w:rFonts w:asciiTheme="majorHAnsi" w:hAnsiTheme="majorHAnsi"/>
                <w:b/>
                <w:szCs w:val="22"/>
              </w:rPr>
            </w:pPr>
            <w:r w:rsidRPr="00F7590C">
              <w:rPr>
                <w:rFonts w:asciiTheme="majorHAnsi" w:hAnsiTheme="majorHAnsi"/>
                <w:b/>
                <w:i/>
                <w:szCs w:val="22"/>
              </w:rPr>
              <w:t>New York Times Co. v. United States,</w:t>
            </w:r>
            <w:r w:rsidRPr="00F7590C">
              <w:rPr>
                <w:rFonts w:asciiTheme="majorHAnsi" w:hAnsiTheme="majorHAnsi"/>
                <w:b/>
                <w:szCs w:val="22"/>
              </w:rPr>
              <w:t xml:space="preserve"> better known as the "Pentagon Papers" case</w:t>
            </w:r>
            <w:r>
              <w:rPr>
                <w:rStyle w:val="FootnoteReference"/>
                <w:rFonts w:asciiTheme="majorHAnsi" w:hAnsiTheme="majorHAnsi"/>
                <w:b/>
                <w:szCs w:val="22"/>
              </w:rPr>
              <w:footnoteReference w:id="34"/>
            </w:r>
          </w:p>
          <w:p w14:paraId="6605B28C" w14:textId="77777777" w:rsidR="00656CFD" w:rsidRDefault="00656CFD" w:rsidP="00656CFD">
            <w:pPr>
              <w:widowControl w:val="0"/>
              <w:tabs>
                <w:tab w:val="left" w:pos="220"/>
                <w:tab w:val="left" w:pos="720"/>
              </w:tabs>
              <w:autoSpaceDE w:val="0"/>
              <w:autoSpaceDN w:val="0"/>
              <w:adjustRightInd w:val="0"/>
              <w:jc w:val="both"/>
              <w:rPr>
                <w:rFonts w:asciiTheme="majorHAnsi" w:hAnsiTheme="majorHAnsi" w:cs="Helvetica"/>
                <w:color w:val="1C1C1C"/>
                <w:sz w:val="22"/>
                <w:szCs w:val="22"/>
              </w:rPr>
            </w:pPr>
          </w:p>
          <w:p w14:paraId="6CEDBFD4" w14:textId="77777777" w:rsidR="00656CFD" w:rsidRPr="0047018F" w:rsidRDefault="00656CFD" w:rsidP="00656CFD">
            <w:pPr>
              <w:widowControl w:val="0"/>
              <w:tabs>
                <w:tab w:val="left" w:pos="220"/>
                <w:tab w:val="left" w:pos="720"/>
              </w:tabs>
              <w:autoSpaceDE w:val="0"/>
              <w:autoSpaceDN w:val="0"/>
              <w:adjustRightInd w:val="0"/>
              <w:jc w:val="both"/>
              <w:rPr>
                <w:rFonts w:asciiTheme="majorHAnsi" w:hAnsiTheme="majorHAnsi" w:cs="Helvetica"/>
                <w:color w:val="1C1C1C"/>
                <w:sz w:val="22"/>
                <w:szCs w:val="22"/>
              </w:rPr>
            </w:pPr>
            <w:r w:rsidRPr="0047018F">
              <w:rPr>
                <w:rFonts w:asciiTheme="majorHAnsi" w:hAnsiTheme="majorHAnsi" w:cs="Helvetica"/>
                <w:color w:val="1C1C1C"/>
                <w:sz w:val="22"/>
                <w:szCs w:val="22"/>
              </w:rPr>
              <w:t xml:space="preserve">President Richard Nixon had claimed executive authority to force the New York </w:t>
            </w:r>
            <w:r w:rsidRPr="0047018F">
              <w:rPr>
                <w:rFonts w:asciiTheme="majorHAnsi" w:hAnsiTheme="majorHAnsi" w:cs="Helvetica"/>
                <w:i/>
                <w:iCs/>
                <w:color w:val="1C1C1C"/>
                <w:sz w:val="22"/>
                <w:szCs w:val="22"/>
              </w:rPr>
              <w:t>Times</w:t>
            </w:r>
            <w:r w:rsidRPr="0047018F">
              <w:rPr>
                <w:rFonts w:asciiTheme="majorHAnsi" w:hAnsiTheme="majorHAnsi" w:cs="Helvetica"/>
                <w:color w:val="1C1C1C"/>
                <w:sz w:val="22"/>
                <w:szCs w:val="22"/>
              </w:rPr>
              <w:t xml:space="preserve"> to suspend publication of classified information in its possession. The question before the court was whether the constitutional freedom of the press, guaranteed by the First Amendment, was subordinate to a claimed need of the executive branch of government to maintain the secrecy of information. The Supreme Court ruled that the First Amendment did protect the right of the </w:t>
            </w:r>
            <w:r w:rsidRPr="0047018F">
              <w:rPr>
                <w:rFonts w:asciiTheme="majorHAnsi" w:hAnsiTheme="majorHAnsi" w:cs="Helvetica"/>
                <w:i/>
                <w:iCs/>
                <w:color w:val="1C1C1C"/>
                <w:sz w:val="22"/>
                <w:szCs w:val="22"/>
              </w:rPr>
              <w:t>New York Times</w:t>
            </w:r>
            <w:r w:rsidRPr="0047018F">
              <w:rPr>
                <w:rFonts w:asciiTheme="majorHAnsi" w:hAnsiTheme="majorHAnsi" w:cs="Helvetica"/>
                <w:color w:val="1C1C1C"/>
                <w:sz w:val="22"/>
                <w:szCs w:val="22"/>
              </w:rPr>
              <w:t xml:space="preserve"> to print the materials.</w:t>
            </w:r>
          </w:p>
          <w:p w14:paraId="77E529B7" w14:textId="77777777" w:rsidR="00656CFD" w:rsidRPr="0047018F" w:rsidRDefault="00656CFD" w:rsidP="00656CFD">
            <w:pPr>
              <w:widowControl w:val="0"/>
              <w:tabs>
                <w:tab w:val="left" w:pos="220"/>
                <w:tab w:val="left" w:pos="720"/>
              </w:tabs>
              <w:autoSpaceDE w:val="0"/>
              <w:autoSpaceDN w:val="0"/>
              <w:adjustRightInd w:val="0"/>
              <w:jc w:val="both"/>
              <w:rPr>
                <w:rFonts w:asciiTheme="majorHAnsi" w:hAnsiTheme="majorHAnsi" w:cs="Helvetica"/>
                <w:color w:val="1C1C1C"/>
                <w:sz w:val="22"/>
                <w:szCs w:val="22"/>
              </w:rPr>
            </w:pPr>
          </w:p>
          <w:p w14:paraId="2D7E3B81" w14:textId="77777777" w:rsidR="00656CFD" w:rsidRPr="0047018F" w:rsidRDefault="00656CFD" w:rsidP="00656CFD">
            <w:pPr>
              <w:widowControl w:val="0"/>
              <w:autoSpaceDE w:val="0"/>
              <w:autoSpaceDN w:val="0"/>
              <w:adjustRightInd w:val="0"/>
              <w:rPr>
                <w:rFonts w:asciiTheme="majorHAnsi" w:hAnsiTheme="majorHAnsi" w:cs="Helvetica"/>
                <w:color w:val="1C1C1C"/>
                <w:sz w:val="22"/>
                <w:szCs w:val="22"/>
              </w:rPr>
            </w:pPr>
            <w:r w:rsidRPr="0047018F">
              <w:rPr>
                <w:rFonts w:asciiTheme="majorHAnsi" w:hAnsiTheme="majorHAnsi" w:cs="Helvetica"/>
                <w:color w:val="1C1C1C"/>
                <w:sz w:val="22"/>
                <w:szCs w:val="22"/>
              </w:rPr>
              <w:t>Justice Hugo Black wrote an opinion that elaborated on the absolute superiority of the First Amendment:</w:t>
            </w:r>
          </w:p>
          <w:p w14:paraId="5EBD9E9A" w14:textId="77777777" w:rsidR="00656CFD" w:rsidRPr="0047018F" w:rsidRDefault="00656CFD" w:rsidP="00656CFD">
            <w:pPr>
              <w:widowControl w:val="0"/>
              <w:tabs>
                <w:tab w:val="left" w:pos="220"/>
                <w:tab w:val="left" w:pos="720"/>
              </w:tabs>
              <w:autoSpaceDE w:val="0"/>
              <w:autoSpaceDN w:val="0"/>
              <w:adjustRightInd w:val="0"/>
              <w:jc w:val="both"/>
              <w:rPr>
                <w:rFonts w:asciiTheme="majorHAnsi" w:hAnsiTheme="majorHAnsi" w:cs="Helvetica"/>
                <w:color w:val="1C1C1C"/>
                <w:sz w:val="22"/>
                <w:szCs w:val="22"/>
              </w:rPr>
            </w:pPr>
          </w:p>
          <w:p w14:paraId="2B7A5283" w14:textId="77777777" w:rsidR="00656CFD" w:rsidRPr="0047018F" w:rsidRDefault="00656CFD" w:rsidP="00656CFD">
            <w:pPr>
              <w:widowControl w:val="0"/>
              <w:tabs>
                <w:tab w:val="left" w:pos="220"/>
                <w:tab w:val="left" w:pos="720"/>
              </w:tabs>
              <w:autoSpaceDE w:val="0"/>
              <w:autoSpaceDN w:val="0"/>
              <w:adjustRightInd w:val="0"/>
              <w:jc w:val="both"/>
              <w:rPr>
                <w:rFonts w:asciiTheme="majorHAnsi" w:hAnsiTheme="majorHAnsi" w:cs="Times New Roman"/>
                <w:b/>
                <w:i/>
                <w:sz w:val="22"/>
                <w:szCs w:val="22"/>
              </w:rPr>
            </w:pPr>
            <w:r w:rsidRPr="0047018F">
              <w:rPr>
                <w:rFonts w:asciiTheme="majorHAnsi" w:hAnsiTheme="majorHAnsi" w:cs="Helvetica"/>
                <w:i/>
                <w:color w:val="1C1C1C"/>
                <w:sz w:val="22"/>
                <w:szCs w:val="22"/>
              </w:rPr>
              <w:t>"Only a free and unrestrained press can effectively expose deception in government. And paramount among the responsibilities of a free press is the duty to prevent any part of the government from deceiving the people and sending them off to distant lands to die of foreign fevers and foreign shot and shell. ... [</w:t>
            </w:r>
            <w:proofErr w:type="gramStart"/>
            <w:r w:rsidRPr="0047018F">
              <w:rPr>
                <w:rFonts w:asciiTheme="majorHAnsi" w:hAnsiTheme="majorHAnsi" w:cs="Helvetica"/>
                <w:i/>
                <w:color w:val="1C1C1C"/>
                <w:sz w:val="22"/>
                <w:szCs w:val="22"/>
              </w:rPr>
              <w:t>W]e</w:t>
            </w:r>
            <w:proofErr w:type="gramEnd"/>
            <w:r w:rsidRPr="0047018F">
              <w:rPr>
                <w:rFonts w:asciiTheme="majorHAnsi" w:hAnsiTheme="majorHAnsi" w:cs="Helvetica"/>
                <w:i/>
                <w:color w:val="1C1C1C"/>
                <w:sz w:val="22"/>
                <w:szCs w:val="22"/>
              </w:rPr>
              <w:t xml:space="preserve"> are asked to hold that ... the Executive Branch, the Congress, and the Judiciary can make laws ... abridging freedom of the press in the name of 'national security.' ... To find that the President has 'inherent power' to halt th</w:t>
            </w:r>
            <w:r>
              <w:rPr>
                <w:rFonts w:asciiTheme="majorHAnsi" w:hAnsiTheme="majorHAnsi" w:cs="Helvetica"/>
                <w:i/>
                <w:color w:val="1C1C1C"/>
                <w:sz w:val="22"/>
                <w:szCs w:val="22"/>
              </w:rPr>
              <w:t xml:space="preserve">e publication of news ... would… </w:t>
            </w:r>
            <w:r w:rsidRPr="0047018F">
              <w:rPr>
                <w:rFonts w:asciiTheme="majorHAnsi" w:hAnsiTheme="majorHAnsi" w:cs="Helvetica"/>
                <w:i/>
                <w:color w:val="1C1C1C"/>
                <w:sz w:val="22"/>
                <w:szCs w:val="22"/>
              </w:rPr>
              <w:t>destroy the fundamental liberty and security of the very people the Government hopes to make 'secure.' ... The word 'security' is a broad, vague generality whose contours should not be invoked to abrogate the fundamental law embodied in the First Amendment. The guarding of military and diplomatic secrets at the expense of informed representative government provides no real security...</w:t>
            </w:r>
            <w:r w:rsidRPr="0047018F">
              <w:rPr>
                <w:rFonts w:asciiTheme="majorHAnsi" w:hAnsiTheme="majorHAnsi" w:cs="Helvetica"/>
                <w:i/>
                <w:color w:val="092F9D"/>
                <w:sz w:val="22"/>
                <w:szCs w:val="22"/>
                <w:vertAlign w:val="superscript"/>
              </w:rPr>
              <w:t>[7]”</w:t>
            </w:r>
          </w:p>
          <w:p w14:paraId="6EE1F6BD" w14:textId="77777777" w:rsidR="00656CFD" w:rsidRDefault="00656CFD" w:rsidP="00656CFD">
            <w:pPr>
              <w:jc w:val="both"/>
              <w:rPr>
                <w:rFonts w:asciiTheme="majorHAnsi" w:hAnsiTheme="majorHAnsi"/>
                <w:b/>
                <w:sz w:val="28"/>
                <w:szCs w:val="28"/>
              </w:rPr>
            </w:pPr>
          </w:p>
        </w:tc>
      </w:tr>
    </w:tbl>
    <w:p w14:paraId="4F6F6285" w14:textId="77777777" w:rsidR="00656CFD" w:rsidRDefault="00656CFD" w:rsidP="00320F8B">
      <w:pPr>
        <w:jc w:val="both"/>
        <w:rPr>
          <w:rFonts w:asciiTheme="majorHAnsi" w:hAnsiTheme="majorHAnsi"/>
          <w:b/>
          <w:sz w:val="28"/>
          <w:szCs w:val="28"/>
        </w:rPr>
      </w:pPr>
    </w:p>
    <w:p w14:paraId="0F665D26" w14:textId="77777777" w:rsidR="00B107FC" w:rsidRPr="00B107FC" w:rsidRDefault="00B107FC" w:rsidP="00320F8B">
      <w:pPr>
        <w:jc w:val="both"/>
        <w:rPr>
          <w:rFonts w:asciiTheme="majorHAnsi" w:hAnsiTheme="majorHAnsi"/>
          <w:b/>
          <w:sz w:val="28"/>
          <w:szCs w:val="28"/>
        </w:rPr>
      </w:pPr>
      <w:r w:rsidRPr="00B107FC">
        <w:rPr>
          <w:rFonts w:asciiTheme="majorHAnsi" w:hAnsiTheme="majorHAnsi"/>
          <w:b/>
          <w:sz w:val="28"/>
          <w:szCs w:val="28"/>
        </w:rPr>
        <w:t>Test of Necessity and Proportionality</w:t>
      </w:r>
    </w:p>
    <w:p w14:paraId="3C8986C3" w14:textId="77777777" w:rsidR="00B107FC" w:rsidRDefault="00B107FC" w:rsidP="00320F8B">
      <w:pPr>
        <w:jc w:val="both"/>
        <w:rPr>
          <w:rFonts w:asciiTheme="majorHAnsi" w:hAnsiTheme="majorHAnsi"/>
          <w:b/>
          <w:i/>
        </w:rPr>
      </w:pPr>
    </w:p>
    <w:p w14:paraId="057E5CA4" w14:textId="6510473B" w:rsidR="0047018F" w:rsidRPr="00686233" w:rsidRDefault="00806429" w:rsidP="00320F8B">
      <w:pPr>
        <w:jc w:val="both"/>
        <w:rPr>
          <w:rFonts w:asciiTheme="majorHAnsi" w:hAnsiTheme="majorHAnsi"/>
          <w:b/>
          <w:i/>
        </w:rPr>
      </w:pPr>
      <w:r w:rsidRPr="00320F8B">
        <w:rPr>
          <w:rFonts w:asciiTheme="majorHAnsi" w:hAnsiTheme="majorHAnsi"/>
          <w:b/>
          <w:i/>
        </w:rPr>
        <w:t>European Court</w:t>
      </w:r>
      <w:r w:rsidR="0047018F">
        <w:rPr>
          <w:rFonts w:asciiTheme="majorHAnsi" w:hAnsiTheme="majorHAnsi"/>
          <w:b/>
          <w:i/>
        </w:rPr>
        <w:t xml:space="preserve"> for Human Rights</w:t>
      </w:r>
      <w:r w:rsidRPr="00320F8B">
        <w:rPr>
          <w:rFonts w:asciiTheme="majorHAnsi" w:hAnsiTheme="majorHAnsi"/>
          <w:b/>
          <w:i/>
        </w:rPr>
        <w:t xml:space="preserve">, </w:t>
      </w:r>
      <w:proofErr w:type="spellStart"/>
      <w:r w:rsidR="00801E58" w:rsidRPr="00320F8B">
        <w:rPr>
          <w:rFonts w:asciiTheme="majorHAnsi" w:hAnsiTheme="majorHAnsi"/>
          <w:b/>
          <w:i/>
        </w:rPr>
        <w:t>Okçuoğlu</w:t>
      </w:r>
      <w:proofErr w:type="spellEnd"/>
      <w:r w:rsidRPr="00320F8B">
        <w:rPr>
          <w:rFonts w:asciiTheme="majorHAnsi" w:hAnsiTheme="majorHAnsi"/>
          <w:b/>
          <w:i/>
        </w:rPr>
        <w:t xml:space="preserve"> v. Turkey</w:t>
      </w:r>
      <w:r w:rsidRPr="00320F8B">
        <w:rPr>
          <w:rStyle w:val="FootnoteReference"/>
          <w:rFonts w:asciiTheme="majorHAnsi" w:hAnsiTheme="majorHAnsi"/>
          <w:b/>
          <w:i/>
        </w:rPr>
        <w:footnoteReference w:id="35"/>
      </w:r>
    </w:p>
    <w:p w14:paraId="4C22B428" w14:textId="07D4B05C" w:rsidR="00801E58" w:rsidRPr="0047018F" w:rsidRDefault="00806429" w:rsidP="00320F8B">
      <w:pPr>
        <w:jc w:val="both"/>
        <w:rPr>
          <w:rFonts w:asciiTheme="majorHAnsi" w:hAnsiTheme="majorHAnsi"/>
          <w:sz w:val="22"/>
          <w:szCs w:val="22"/>
        </w:rPr>
      </w:pPr>
      <w:r w:rsidRPr="0047018F">
        <w:rPr>
          <w:rFonts w:asciiTheme="majorHAnsi" w:hAnsiTheme="majorHAnsi"/>
          <w:sz w:val="22"/>
          <w:szCs w:val="22"/>
        </w:rPr>
        <w:t xml:space="preserve">Mr. </w:t>
      </w:r>
      <w:proofErr w:type="spellStart"/>
      <w:r w:rsidRPr="0047018F">
        <w:rPr>
          <w:rFonts w:asciiTheme="majorHAnsi" w:hAnsiTheme="majorHAnsi"/>
          <w:sz w:val="22"/>
          <w:szCs w:val="22"/>
        </w:rPr>
        <w:t>Okcuiglu</w:t>
      </w:r>
      <w:proofErr w:type="spellEnd"/>
      <w:r w:rsidRPr="0047018F">
        <w:rPr>
          <w:rFonts w:asciiTheme="majorHAnsi" w:hAnsiTheme="majorHAnsi"/>
          <w:sz w:val="22"/>
          <w:szCs w:val="22"/>
        </w:rPr>
        <w:t xml:space="preserve"> </w:t>
      </w:r>
      <w:r w:rsidR="00801E58" w:rsidRPr="0047018F">
        <w:rPr>
          <w:rFonts w:asciiTheme="majorHAnsi" w:hAnsiTheme="majorHAnsi"/>
          <w:sz w:val="22"/>
          <w:szCs w:val="22"/>
        </w:rPr>
        <w:t>participated in a round table discussion.</w:t>
      </w:r>
      <w:r w:rsidR="00801E58" w:rsidRPr="0047018F">
        <w:rPr>
          <w:rStyle w:val="FootnoteReference"/>
          <w:rFonts w:asciiTheme="majorHAnsi" w:hAnsiTheme="majorHAnsi"/>
          <w:i/>
          <w:sz w:val="22"/>
          <w:szCs w:val="22"/>
        </w:rPr>
        <w:t xml:space="preserve"> </w:t>
      </w:r>
      <w:r w:rsidR="00801E58" w:rsidRPr="0047018F">
        <w:rPr>
          <w:rStyle w:val="FootnoteReference"/>
          <w:rFonts w:asciiTheme="majorHAnsi" w:hAnsiTheme="majorHAnsi"/>
          <w:i/>
          <w:sz w:val="22"/>
          <w:szCs w:val="22"/>
        </w:rPr>
        <w:footnoteReference w:id="36"/>
      </w:r>
      <w:r w:rsidR="00801E58" w:rsidRPr="0047018F">
        <w:rPr>
          <w:rFonts w:asciiTheme="majorHAnsi" w:hAnsiTheme="majorHAnsi"/>
          <w:sz w:val="22"/>
          <w:szCs w:val="22"/>
        </w:rPr>
        <w:t xml:space="preserve"> His comments were later published in an article entitled "The past and present of the Kurdish problem." He was imprisoned for these comments and later required to pay a fine, under a law protecting national security and preventing public disorder.</w:t>
      </w:r>
    </w:p>
    <w:p w14:paraId="6A6646EF" w14:textId="77777777" w:rsidR="00801E58" w:rsidRPr="0047018F" w:rsidRDefault="00801E58" w:rsidP="00320F8B">
      <w:pPr>
        <w:jc w:val="both"/>
        <w:rPr>
          <w:rFonts w:asciiTheme="majorHAnsi" w:hAnsiTheme="majorHAnsi"/>
          <w:sz w:val="22"/>
          <w:szCs w:val="22"/>
        </w:rPr>
      </w:pPr>
    </w:p>
    <w:p w14:paraId="70BC27F2" w14:textId="7B1CCD41" w:rsidR="00320F8B" w:rsidRPr="0047018F" w:rsidRDefault="00320F8B" w:rsidP="00320F8B">
      <w:pPr>
        <w:widowControl w:val="0"/>
        <w:autoSpaceDE w:val="0"/>
        <w:autoSpaceDN w:val="0"/>
        <w:adjustRightInd w:val="0"/>
        <w:jc w:val="both"/>
        <w:rPr>
          <w:rFonts w:asciiTheme="majorHAnsi" w:hAnsiTheme="majorHAnsi" w:cs="Verdana"/>
          <w:color w:val="171717"/>
          <w:sz w:val="22"/>
          <w:szCs w:val="22"/>
        </w:rPr>
      </w:pPr>
      <w:r w:rsidRPr="0047018F">
        <w:rPr>
          <w:rFonts w:asciiTheme="majorHAnsi" w:hAnsiTheme="majorHAnsi" w:cs="Verdana"/>
          <w:color w:val="171717"/>
          <w:sz w:val="22"/>
          <w:szCs w:val="22"/>
        </w:rPr>
        <w:t xml:space="preserve">The European Court found that the interference by a public authority with the applicant's right to freedom of expression was prescribed by law, and pursued a legitimate aim, namely the protection of the national security and territorial integrity of the State, and the prevention of disorder and crime. </w:t>
      </w:r>
    </w:p>
    <w:p w14:paraId="7D55690B" w14:textId="77777777" w:rsidR="00320F8B" w:rsidRPr="0047018F" w:rsidRDefault="00320F8B" w:rsidP="00320F8B">
      <w:pPr>
        <w:widowControl w:val="0"/>
        <w:autoSpaceDE w:val="0"/>
        <w:autoSpaceDN w:val="0"/>
        <w:adjustRightInd w:val="0"/>
        <w:rPr>
          <w:rFonts w:asciiTheme="majorHAnsi" w:hAnsiTheme="majorHAnsi" w:cs="Verdana"/>
          <w:color w:val="171717"/>
          <w:sz w:val="22"/>
          <w:szCs w:val="22"/>
        </w:rPr>
      </w:pPr>
    </w:p>
    <w:p w14:paraId="50ABCE32" w14:textId="77777777" w:rsidR="00320F8B" w:rsidRPr="0047018F" w:rsidRDefault="00320F8B" w:rsidP="00FA3108">
      <w:pPr>
        <w:widowControl w:val="0"/>
        <w:autoSpaceDE w:val="0"/>
        <w:autoSpaceDN w:val="0"/>
        <w:adjustRightInd w:val="0"/>
        <w:jc w:val="both"/>
        <w:rPr>
          <w:rFonts w:asciiTheme="majorHAnsi" w:hAnsiTheme="majorHAnsi" w:cs="Verdana"/>
          <w:color w:val="171717"/>
          <w:sz w:val="22"/>
          <w:szCs w:val="22"/>
        </w:rPr>
      </w:pPr>
      <w:r w:rsidRPr="0047018F">
        <w:rPr>
          <w:rFonts w:asciiTheme="majorHAnsi" w:hAnsiTheme="majorHAnsi" w:cs="Verdana"/>
          <w:color w:val="171717"/>
          <w:sz w:val="22"/>
          <w:szCs w:val="22"/>
        </w:rPr>
        <w:t xml:space="preserve">However, the European Court did not find that the interference was necessary and proportionate. </w:t>
      </w:r>
    </w:p>
    <w:p w14:paraId="6A123019" w14:textId="77777777" w:rsidR="008D3A17" w:rsidRPr="0047018F" w:rsidRDefault="008D3A17" w:rsidP="00320F8B">
      <w:pPr>
        <w:jc w:val="both"/>
        <w:rPr>
          <w:rFonts w:asciiTheme="majorHAnsi" w:hAnsiTheme="majorHAnsi"/>
          <w:sz w:val="22"/>
          <w:szCs w:val="22"/>
        </w:rPr>
      </w:pPr>
    </w:p>
    <w:p w14:paraId="56CC2A6A" w14:textId="2799A773" w:rsidR="00801E58" w:rsidRPr="0047018F" w:rsidRDefault="00801E58" w:rsidP="00320F8B">
      <w:pPr>
        <w:jc w:val="both"/>
        <w:rPr>
          <w:rFonts w:asciiTheme="majorHAnsi" w:hAnsiTheme="majorHAnsi"/>
          <w:sz w:val="22"/>
          <w:szCs w:val="22"/>
        </w:rPr>
      </w:pPr>
      <w:r w:rsidRPr="0047018F">
        <w:rPr>
          <w:rFonts w:asciiTheme="majorHAnsi" w:hAnsiTheme="majorHAnsi"/>
          <w:sz w:val="22"/>
          <w:szCs w:val="22"/>
        </w:rPr>
        <w:t xml:space="preserve">To determine if the restrictions were necessary, the Court looked at the words used and the context. It noted the "sensitivity of the security situation in south-east Turkey" and the government's fear that the comments would "exacerbate the serious disturbances." </w:t>
      </w:r>
    </w:p>
    <w:p w14:paraId="7183FD98" w14:textId="77777777" w:rsidR="00320F8B" w:rsidRPr="0047018F" w:rsidRDefault="00320F8B" w:rsidP="00320F8B">
      <w:pPr>
        <w:jc w:val="both"/>
        <w:rPr>
          <w:rFonts w:asciiTheme="majorHAnsi" w:hAnsiTheme="majorHAnsi"/>
          <w:sz w:val="22"/>
          <w:szCs w:val="22"/>
        </w:rPr>
      </w:pPr>
    </w:p>
    <w:p w14:paraId="0303C900" w14:textId="77777777" w:rsidR="00B107FC" w:rsidRDefault="00320F8B" w:rsidP="00320F8B">
      <w:pPr>
        <w:jc w:val="both"/>
        <w:rPr>
          <w:rFonts w:asciiTheme="majorHAnsi" w:hAnsiTheme="majorHAnsi" w:cs="Verdana"/>
          <w:color w:val="171717"/>
          <w:sz w:val="22"/>
          <w:szCs w:val="22"/>
        </w:rPr>
      </w:pPr>
      <w:r w:rsidRPr="0047018F">
        <w:rPr>
          <w:rFonts w:asciiTheme="majorHAnsi" w:hAnsiTheme="majorHAnsi" w:cs="Verdana"/>
          <w:color w:val="171717"/>
          <w:sz w:val="22"/>
          <w:szCs w:val="22"/>
        </w:rPr>
        <w:t xml:space="preserve">The Court decided that the interference was disproportionate to the aims being pursued for the following reasons: </w:t>
      </w:r>
    </w:p>
    <w:p w14:paraId="7161355B" w14:textId="5019724C" w:rsidR="00B107FC" w:rsidRPr="00B107FC" w:rsidRDefault="00B107FC" w:rsidP="00B107FC">
      <w:pPr>
        <w:pStyle w:val="ListParagraph"/>
        <w:numPr>
          <w:ilvl w:val="0"/>
          <w:numId w:val="18"/>
        </w:numPr>
        <w:jc w:val="both"/>
        <w:rPr>
          <w:rFonts w:asciiTheme="majorHAnsi" w:hAnsiTheme="majorHAnsi"/>
          <w:sz w:val="22"/>
          <w:szCs w:val="22"/>
        </w:rPr>
      </w:pPr>
      <w:r w:rsidRPr="00B107FC">
        <w:rPr>
          <w:rFonts w:asciiTheme="majorHAnsi" w:hAnsiTheme="majorHAnsi" w:cs="Verdana"/>
          <w:color w:val="171717"/>
          <w:sz w:val="22"/>
          <w:szCs w:val="22"/>
        </w:rPr>
        <w:t>T</w:t>
      </w:r>
      <w:r w:rsidR="00320F8B" w:rsidRPr="00B107FC">
        <w:rPr>
          <w:rFonts w:asciiTheme="majorHAnsi" w:hAnsiTheme="majorHAnsi" w:cs="Verdana"/>
          <w:color w:val="171717"/>
          <w:sz w:val="22"/>
          <w:szCs w:val="22"/>
        </w:rPr>
        <w:t xml:space="preserve">he applicant's comments made during a roundtable debate were published in a </w:t>
      </w:r>
      <w:r w:rsidR="00320F8B" w:rsidRPr="00017F9D">
        <w:rPr>
          <w:rFonts w:asciiTheme="majorHAnsi" w:hAnsiTheme="majorHAnsi" w:cs="Verdana"/>
          <w:color w:val="171717"/>
          <w:sz w:val="22"/>
          <w:szCs w:val="22"/>
          <w:u w:val="single"/>
        </w:rPr>
        <w:t>periodical of</w:t>
      </w:r>
      <w:r w:rsidRPr="00017F9D">
        <w:rPr>
          <w:rFonts w:asciiTheme="majorHAnsi" w:hAnsiTheme="majorHAnsi" w:cs="Verdana"/>
          <w:color w:val="171717"/>
          <w:sz w:val="22"/>
          <w:szCs w:val="22"/>
          <w:u w:val="single"/>
        </w:rPr>
        <w:t xml:space="preserve"> low circulation</w:t>
      </w:r>
      <w:r w:rsidRPr="00B107FC">
        <w:rPr>
          <w:rFonts w:asciiTheme="majorHAnsi" w:hAnsiTheme="majorHAnsi" w:cs="Verdana"/>
          <w:color w:val="171717"/>
          <w:sz w:val="22"/>
          <w:szCs w:val="22"/>
        </w:rPr>
        <w:t xml:space="preserve"> “</w:t>
      </w:r>
      <w:r w:rsidRPr="00B107FC">
        <w:rPr>
          <w:rFonts w:asciiTheme="majorHAnsi" w:hAnsiTheme="majorHAnsi"/>
          <w:sz w:val="22"/>
          <w:szCs w:val="22"/>
        </w:rPr>
        <w:t>thereby significantly reducing their potential impact on 'national security', 'public order', or 'territorial integrity.'"</w:t>
      </w:r>
      <w:r w:rsidRPr="0047018F">
        <w:rPr>
          <w:rStyle w:val="FootnoteReference"/>
          <w:rFonts w:asciiTheme="majorHAnsi" w:hAnsiTheme="majorHAnsi"/>
          <w:sz w:val="22"/>
          <w:szCs w:val="22"/>
        </w:rPr>
        <w:footnoteReference w:id="37"/>
      </w:r>
    </w:p>
    <w:p w14:paraId="38DA7929" w14:textId="495D9E95" w:rsidR="00B107FC" w:rsidRPr="00B107FC" w:rsidRDefault="00B107FC" w:rsidP="00B107FC">
      <w:pPr>
        <w:pStyle w:val="ListParagraph"/>
        <w:numPr>
          <w:ilvl w:val="0"/>
          <w:numId w:val="17"/>
        </w:numPr>
        <w:jc w:val="both"/>
        <w:rPr>
          <w:rFonts w:asciiTheme="majorHAnsi" w:hAnsiTheme="majorHAnsi" w:cs="Verdana"/>
          <w:color w:val="171717"/>
          <w:sz w:val="22"/>
          <w:szCs w:val="22"/>
        </w:rPr>
      </w:pPr>
      <w:r>
        <w:rPr>
          <w:rFonts w:asciiTheme="majorHAnsi" w:hAnsiTheme="majorHAnsi" w:cs="Verdana"/>
          <w:color w:val="171717"/>
          <w:sz w:val="22"/>
          <w:szCs w:val="22"/>
        </w:rPr>
        <w:t>W</w:t>
      </w:r>
      <w:r w:rsidR="00320F8B" w:rsidRPr="00B107FC">
        <w:rPr>
          <w:rFonts w:asciiTheme="majorHAnsi" w:hAnsiTheme="majorHAnsi" w:cs="Verdana"/>
          <w:color w:val="171717"/>
          <w:sz w:val="22"/>
          <w:szCs w:val="22"/>
        </w:rPr>
        <w:t xml:space="preserve">hile some comments were negative to those of Turkish origin, they did not amount to incitement to engage in violence, armed resistance or uprising; and </w:t>
      </w:r>
    </w:p>
    <w:p w14:paraId="6FA4AF4B" w14:textId="0D335E2B" w:rsidR="00320F8B" w:rsidRPr="00B107FC" w:rsidRDefault="00B107FC" w:rsidP="00B107FC">
      <w:pPr>
        <w:pStyle w:val="ListParagraph"/>
        <w:numPr>
          <w:ilvl w:val="0"/>
          <w:numId w:val="17"/>
        </w:numPr>
        <w:jc w:val="both"/>
        <w:rPr>
          <w:rFonts w:asciiTheme="majorHAnsi" w:hAnsiTheme="majorHAnsi"/>
          <w:sz w:val="22"/>
          <w:szCs w:val="22"/>
        </w:rPr>
      </w:pPr>
      <w:r>
        <w:rPr>
          <w:rFonts w:asciiTheme="majorHAnsi" w:hAnsiTheme="majorHAnsi" w:cs="Verdana"/>
          <w:color w:val="171717"/>
          <w:sz w:val="22"/>
          <w:szCs w:val="22"/>
        </w:rPr>
        <w:t>H</w:t>
      </w:r>
      <w:r w:rsidR="00320F8B" w:rsidRPr="00B107FC">
        <w:rPr>
          <w:rFonts w:asciiTheme="majorHAnsi" w:hAnsiTheme="majorHAnsi" w:cs="Verdana"/>
          <w:color w:val="171717"/>
          <w:sz w:val="22"/>
          <w:szCs w:val="22"/>
        </w:rPr>
        <w:t>is conviction was too severe for the aims being pursued.</w:t>
      </w:r>
    </w:p>
    <w:p w14:paraId="1BE5D2D9" w14:textId="77777777" w:rsidR="00801E58" w:rsidRPr="00320F8B" w:rsidRDefault="00801E58" w:rsidP="00320F8B">
      <w:pPr>
        <w:jc w:val="both"/>
        <w:rPr>
          <w:rFonts w:asciiTheme="majorHAnsi" w:hAnsiTheme="majorHAnsi"/>
          <w:szCs w:val="22"/>
        </w:rPr>
      </w:pPr>
    </w:p>
    <w:p w14:paraId="5AD69962" w14:textId="77777777" w:rsidR="00801E58" w:rsidRPr="00806429" w:rsidRDefault="00F7590C" w:rsidP="00806429">
      <w:pPr>
        <w:jc w:val="both"/>
        <w:rPr>
          <w:rFonts w:asciiTheme="majorHAnsi" w:hAnsiTheme="majorHAnsi"/>
          <w:b/>
          <w:szCs w:val="22"/>
        </w:rPr>
      </w:pPr>
      <w:r>
        <w:rPr>
          <w:rFonts w:asciiTheme="majorHAnsi" w:hAnsiTheme="majorHAnsi"/>
          <w:b/>
          <w:i/>
          <w:szCs w:val="22"/>
        </w:rPr>
        <w:t xml:space="preserve">European Court for Human Rights, </w:t>
      </w:r>
      <w:r w:rsidR="00801E58" w:rsidRPr="00806429">
        <w:rPr>
          <w:rFonts w:asciiTheme="majorHAnsi" w:hAnsiTheme="majorHAnsi"/>
          <w:b/>
          <w:i/>
          <w:szCs w:val="22"/>
        </w:rPr>
        <w:t>The Observer and Guardian v. the United Kingdom</w:t>
      </w:r>
      <w:r w:rsidR="00801E58" w:rsidRPr="00806429">
        <w:rPr>
          <w:rStyle w:val="FootnoteReference"/>
          <w:rFonts w:asciiTheme="majorHAnsi" w:hAnsiTheme="majorHAnsi"/>
          <w:b/>
          <w:szCs w:val="22"/>
        </w:rPr>
        <w:footnoteReference w:id="38"/>
      </w:r>
      <w:r w:rsidR="00801E58" w:rsidRPr="00806429">
        <w:rPr>
          <w:rFonts w:asciiTheme="majorHAnsi" w:hAnsiTheme="majorHAnsi"/>
          <w:b/>
          <w:szCs w:val="22"/>
        </w:rPr>
        <w:t xml:space="preserve"> </w:t>
      </w:r>
    </w:p>
    <w:p w14:paraId="75C73A89" w14:textId="77777777" w:rsidR="00801E58" w:rsidRPr="0047018F" w:rsidRDefault="00806429" w:rsidP="00806429">
      <w:pPr>
        <w:jc w:val="both"/>
        <w:rPr>
          <w:rFonts w:asciiTheme="majorHAnsi" w:hAnsiTheme="majorHAnsi"/>
          <w:i/>
          <w:sz w:val="22"/>
          <w:szCs w:val="22"/>
        </w:rPr>
      </w:pPr>
      <w:r w:rsidRPr="0047018F">
        <w:rPr>
          <w:rFonts w:asciiTheme="majorHAnsi" w:hAnsiTheme="majorHAnsi" w:cs="Verdana"/>
          <w:color w:val="171717"/>
          <w:sz w:val="22"/>
          <w:szCs w:val="22"/>
        </w:rPr>
        <w:t>A former member of the British Security Service wrote his memoirs "</w:t>
      </w:r>
      <w:proofErr w:type="spellStart"/>
      <w:r w:rsidRPr="0047018F">
        <w:rPr>
          <w:rFonts w:asciiTheme="majorHAnsi" w:hAnsiTheme="majorHAnsi" w:cs="Verdana"/>
          <w:color w:val="171717"/>
          <w:sz w:val="22"/>
          <w:szCs w:val="22"/>
        </w:rPr>
        <w:t>Spycatcher</w:t>
      </w:r>
      <w:proofErr w:type="spellEnd"/>
      <w:r w:rsidRPr="0047018F">
        <w:rPr>
          <w:rFonts w:asciiTheme="majorHAnsi" w:hAnsiTheme="majorHAnsi" w:cs="Verdana"/>
          <w:color w:val="171717"/>
          <w:sz w:val="22"/>
          <w:szCs w:val="22"/>
        </w:rPr>
        <w:t xml:space="preserve">" and made arrangements for their publication in Australia, without obtaining the </w:t>
      </w:r>
      <w:proofErr w:type="spellStart"/>
      <w:r w:rsidRPr="0047018F">
        <w:rPr>
          <w:rFonts w:asciiTheme="majorHAnsi" w:hAnsiTheme="majorHAnsi" w:cs="Verdana"/>
          <w:color w:val="171717"/>
          <w:sz w:val="22"/>
          <w:szCs w:val="22"/>
        </w:rPr>
        <w:t>authorisation</w:t>
      </w:r>
      <w:proofErr w:type="spellEnd"/>
      <w:r w:rsidRPr="0047018F">
        <w:rPr>
          <w:rFonts w:asciiTheme="majorHAnsi" w:hAnsiTheme="majorHAnsi" w:cs="Verdana"/>
          <w:color w:val="171717"/>
          <w:sz w:val="22"/>
          <w:szCs w:val="22"/>
        </w:rPr>
        <w:t xml:space="preserve"> of the Security Service. He asserted that until the late 1970s, the Security Service had been engaged in unlawful activities, including the bugging and burgling of friendly embassies.  Proceedings were instituted in the English courts and interim injunctions obtained restraining any further publication of the kind in question pending the substantive trial of the action in Australia. Subsequently, it was announced that </w:t>
      </w:r>
      <w:proofErr w:type="spellStart"/>
      <w:r w:rsidRPr="0047018F">
        <w:rPr>
          <w:rFonts w:asciiTheme="majorHAnsi" w:hAnsiTheme="majorHAnsi" w:cs="Verdana"/>
          <w:color w:val="171717"/>
          <w:sz w:val="22"/>
          <w:szCs w:val="22"/>
        </w:rPr>
        <w:t>Spycatcher</w:t>
      </w:r>
      <w:proofErr w:type="spellEnd"/>
      <w:r w:rsidRPr="0047018F">
        <w:rPr>
          <w:rFonts w:asciiTheme="majorHAnsi" w:hAnsiTheme="majorHAnsi" w:cs="Verdana"/>
          <w:color w:val="171717"/>
          <w:sz w:val="22"/>
          <w:szCs w:val="22"/>
        </w:rPr>
        <w:t xml:space="preserve"> would be published in the United States. Another newspaper obtained a copy of the manuscript from the US publishers and started </w:t>
      </w:r>
      <w:proofErr w:type="spellStart"/>
      <w:r w:rsidRPr="0047018F">
        <w:rPr>
          <w:rFonts w:asciiTheme="majorHAnsi" w:hAnsiTheme="majorHAnsi" w:cs="Verdana"/>
          <w:color w:val="171717"/>
          <w:sz w:val="22"/>
          <w:szCs w:val="22"/>
        </w:rPr>
        <w:t>serialisation</w:t>
      </w:r>
      <w:proofErr w:type="spellEnd"/>
      <w:r w:rsidRPr="0047018F">
        <w:rPr>
          <w:rFonts w:asciiTheme="majorHAnsi" w:hAnsiTheme="majorHAnsi" w:cs="Verdana"/>
          <w:color w:val="171717"/>
          <w:sz w:val="22"/>
          <w:szCs w:val="22"/>
        </w:rPr>
        <w:t>. The British Government instituted contempt of court proceedings against that newspaper</w:t>
      </w:r>
    </w:p>
    <w:p w14:paraId="771D9639" w14:textId="77777777" w:rsidR="00806429" w:rsidRPr="0047018F" w:rsidRDefault="00806429" w:rsidP="00806429">
      <w:pPr>
        <w:widowControl w:val="0"/>
        <w:autoSpaceDE w:val="0"/>
        <w:autoSpaceDN w:val="0"/>
        <w:adjustRightInd w:val="0"/>
        <w:rPr>
          <w:rFonts w:asciiTheme="majorHAnsi" w:hAnsiTheme="majorHAnsi" w:cs="Verdana"/>
          <w:b/>
          <w:bCs/>
          <w:color w:val="171717"/>
          <w:sz w:val="22"/>
          <w:szCs w:val="22"/>
        </w:rPr>
      </w:pPr>
    </w:p>
    <w:p w14:paraId="4518FDAC" w14:textId="77777777" w:rsidR="00265CC5" w:rsidRPr="0047018F" w:rsidRDefault="00265CC5" w:rsidP="00806429">
      <w:pPr>
        <w:widowControl w:val="0"/>
        <w:autoSpaceDE w:val="0"/>
        <w:autoSpaceDN w:val="0"/>
        <w:adjustRightInd w:val="0"/>
        <w:jc w:val="both"/>
        <w:rPr>
          <w:rFonts w:asciiTheme="majorHAnsi" w:hAnsiTheme="majorHAnsi" w:cs="Verdana"/>
          <w:color w:val="171717"/>
          <w:sz w:val="22"/>
          <w:szCs w:val="22"/>
        </w:rPr>
      </w:pPr>
      <w:r w:rsidRPr="0047018F">
        <w:rPr>
          <w:rFonts w:asciiTheme="majorHAnsi" w:hAnsiTheme="majorHAnsi" w:cs="Verdana"/>
          <w:color w:val="171717"/>
          <w:sz w:val="22"/>
          <w:szCs w:val="22"/>
        </w:rPr>
        <w:t>The Court first restated its major principles:</w:t>
      </w:r>
    </w:p>
    <w:p w14:paraId="6AC877CA" w14:textId="6258EB42" w:rsidR="00265CC5" w:rsidRDefault="00265CC5" w:rsidP="00B107FC">
      <w:pPr>
        <w:pStyle w:val="ListParagraph"/>
        <w:widowControl w:val="0"/>
        <w:numPr>
          <w:ilvl w:val="1"/>
          <w:numId w:val="19"/>
        </w:numPr>
        <w:autoSpaceDE w:val="0"/>
        <w:autoSpaceDN w:val="0"/>
        <w:adjustRightInd w:val="0"/>
        <w:jc w:val="both"/>
        <w:rPr>
          <w:rFonts w:asciiTheme="majorHAnsi" w:hAnsiTheme="majorHAnsi" w:cs="Verdana"/>
          <w:color w:val="171717"/>
          <w:sz w:val="22"/>
          <w:szCs w:val="22"/>
        </w:rPr>
      </w:pPr>
      <w:r w:rsidRPr="00B107FC">
        <w:rPr>
          <w:rFonts w:asciiTheme="majorHAnsi" w:hAnsiTheme="majorHAnsi" w:cs="Verdana"/>
          <w:color w:val="171717"/>
          <w:sz w:val="22"/>
          <w:szCs w:val="22"/>
        </w:rPr>
        <w:t xml:space="preserve">Freedom of expression constitutes one of the essential foundations of a democratic society; subject to [legitimate restrictions] it is applicable not only to "information" or "ideas" that are </w:t>
      </w:r>
      <w:r w:rsidR="00806429" w:rsidRPr="00B107FC">
        <w:rPr>
          <w:rFonts w:asciiTheme="majorHAnsi" w:hAnsiTheme="majorHAnsi" w:cs="Verdana"/>
          <w:color w:val="171717"/>
          <w:sz w:val="22"/>
          <w:szCs w:val="22"/>
        </w:rPr>
        <w:t>favorably</w:t>
      </w:r>
      <w:r w:rsidRPr="00B107FC">
        <w:rPr>
          <w:rFonts w:asciiTheme="majorHAnsi" w:hAnsiTheme="majorHAnsi" w:cs="Verdana"/>
          <w:color w:val="171717"/>
          <w:sz w:val="22"/>
          <w:szCs w:val="22"/>
        </w:rPr>
        <w:t xml:space="preserve"> received or regarded as inoffensive or as a matter of indifference, but also to those that offend, shock or disturb. Freedom of expression ... is subject to a number of exceptions which, however, must be narrowly interpreted and the necessity for any restrictions must be convincingly established.</w:t>
      </w:r>
    </w:p>
    <w:p w14:paraId="023ADBA1" w14:textId="7866113A" w:rsidR="00265CC5" w:rsidRPr="00B107FC" w:rsidRDefault="00265CC5" w:rsidP="00806429">
      <w:pPr>
        <w:pStyle w:val="ListParagraph"/>
        <w:widowControl w:val="0"/>
        <w:numPr>
          <w:ilvl w:val="1"/>
          <w:numId w:val="19"/>
        </w:numPr>
        <w:autoSpaceDE w:val="0"/>
        <w:autoSpaceDN w:val="0"/>
        <w:adjustRightInd w:val="0"/>
        <w:jc w:val="both"/>
        <w:rPr>
          <w:rFonts w:asciiTheme="majorHAnsi" w:hAnsiTheme="majorHAnsi" w:cs="Verdana"/>
          <w:color w:val="171717"/>
          <w:sz w:val="22"/>
          <w:szCs w:val="22"/>
        </w:rPr>
      </w:pPr>
      <w:r w:rsidRPr="00B107FC">
        <w:rPr>
          <w:rFonts w:asciiTheme="majorHAnsi" w:hAnsiTheme="majorHAnsi" w:cs="Verdana"/>
          <w:color w:val="171717"/>
          <w:sz w:val="22"/>
          <w:szCs w:val="22"/>
        </w:rPr>
        <w:t>These principles are of particular importance as far as the press is concerned. Whilst it must not overstep the bounds set, inter alia, in the "interests of national security" or for "maintaining the authority of the judiciary", it is nevertheless incumbent on it to impart information and ideas on matters of public interest. Not only does the press have the task of imparting such information and ideas: the public also has a right to receive them. Were it otherwise, the press would be unable to play its vital role of "public watchdog".</w:t>
      </w:r>
    </w:p>
    <w:p w14:paraId="52F7239F" w14:textId="77777777" w:rsidR="00B107FC" w:rsidRDefault="00B107FC" w:rsidP="00806429">
      <w:pPr>
        <w:widowControl w:val="0"/>
        <w:autoSpaceDE w:val="0"/>
        <w:autoSpaceDN w:val="0"/>
        <w:adjustRightInd w:val="0"/>
        <w:jc w:val="both"/>
        <w:rPr>
          <w:rFonts w:asciiTheme="majorHAnsi" w:hAnsiTheme="majorHAnsi" w:cs="Verdana"/>
          <w:color w:val="171717"/>
          <w:sz w:val="22"/>
          <w:szCs w:val="22"/>
        </w:rPr>
      </w:pPr>
    </w:p>
    <w:p w14:paraId="39CCF9BE" w14:textId="6E1E78C1" w:rsidR="00265CC5" w:rsidRPr="0047018F" w:rsidRDefault="00265CC5" w:rsidP="00806429">
      <w:pPr>
        <w:widowControl w:val="0"/>
        <w:autoSpaceDE w:val="0"/>
        <w:autoSpaceDN w:val="0"/>
        <w:adjustRightInd w:val="0"/>
        <w:jc w:val="both"/>
        <w:rPr>
          <w:rFonts w:asciiTheme="majorHAnsi" w:hAnsiTheme="majorHAnsi" w:cs="Verdana"/>
          <w:color w:val="171717"/>
          <w:sz w:val="22"/>
          <w:szCs w:val="22"/>
        </w:rPr>
      </w:pPr>
      <w:r w:rsidRPr="0047018F">
        <w:rPr>
          <w:rFonts w:asciiTheme="majorHAnsi" w:hAnsiTheme="majorHAnsi" w:cs="Verdana"/>
          <w:color w:val="171717"/>
          <w:sz w:val="22"/>
          <w:szCs w:val="22"/>
        </w:rPr>
        <w:t>The Court stressed that any form of prior restraint, such as the injunction in question, should be submitted to the strictest scrutiny:</w:t>
      </w:r>
    </w:p>
    <w:p w14:paraId="0795B582" w14:textId="77777777" w:rsidR="00806429" w:rsidRPr="0047018F" w:rsidRDefault="00806429" w:rsidP="00806429">
      <w:pPr>
        <w:widowControl w:val="0"/>
        <w:autoSpaceDE w:val="0"/>
        <w:autoSpaceDN w:val="0"/>
        <w:adjustRightInd w:val="0"/>
        <w:jc w:val="both"/>
        <w:rPr>
          <w:rFonts w:asciiTheme="majorHAnsi" w:hAnsiTheme="majorHAnsi" w:cs="Verdana"/>
          <w:color w:val="171717"/>
          <w:sz w:val="22"/>
          <w:szCs w:val="22"/>
        </w:rPr>
      </w:pPr>
    </w:p>
    <w:p w14:paraId="1560FAA5" w14:textId="77777777" w:rsidR="00265CC5" w:rsidRPr="00B107FC" w:rsidRDefault="00265CC5" w:rsidP="00B107FC">
      <w:pPr>
        <w:pStyle w:val="ListParagraph"/>
        <w:widowControl w:val="0"/>
        <w:numPr>
          <w:ilvl w:val="0"/>
          <w:numId w:val="20"/>
        </w:numPr>
        <w:autoSpaceDE w:val="0"/>
        <w:autoSpaceDN w:val="0"/>
        <w:adjustRightInd w:val="0"/>
        <w:jc w:val="both"/>
        <w:rPr>
          <w:rFonts w:asciiTheme="majorHAnsi" w:hAnsiTheme="majorHAnsi" w:cs="Verdana"/>
          <w:color w:val="171717"/>
          <w:sz w:val="22"/>
          <w:szCs w:val="22"/>
        </w:rPr>
      </w:pPr>
      <w:r w:rsidRPr="00B107FC">
        <w:rPr>
          <w:rFonts w:asciiTheme="majorHAnsi" w:hAnsiTheme="majorHAnsi" w:cs="Verdana"/>
          <w:color w:val="171717"/>
          <w:sz w:val="22"/>
          <w:szCs w:val="22"/>
        </w:rPr>
        <w:t>The dangers inherent in prior restraints are such that they call for the most careful scrutiny on the part of the Court. This is especially so as far as the press is concerned, for news is a perishable commodity and to delay its publication, even for a short period, may well deprive it of all its value and interest. (</w:t>
      </w:r>
      <w:proofErr w:type="spellStart"/>
      <w:proofErr w:type="gramStart"/>
      <w:r w:rsidRPr="00B107FC">
        <w:rPr>
          <w:rFonts w:asciiTheme="majorHAnsi" w:hAnsiTheme="majorHAnsi" w:cs="Verdana"/>
          <w:color w:val="171717"/>
          <w:sz w:val="22"/>
          <w:szCs w:val="22"/>
        </w:rPr>
        <w:t>para</w:t>
      </w:r>
      <w:proofErr w:type="spellEnd"/>
      <w:proofErr w:type="gramEnd"/>
      <w:r w:rsidRPr="00B107FC">
        <w:rPr>
          <w:rFonts w:asciiTheme="majorHAnsi" w:hAnsiTheme="majorHAnsi" w:cs="Verdana"/>
          <w:color w:val="171717"/>
          <w:sz w:val="22"/>
          <w:szCs w:val="22"/>
        </w:rPr>
        <w:t>. 60)</w:t>
      </w:r>
    </w:p>
    <w:p w14:paraId="447C4B2E" w14:textId="77777777" w:rsidR="00806429" w:rsidRPr="0047018F" w:rsidRDefault="00806429" w:rsidP="00806429">
      <w:pPr>
        <w:widowControl w:val="0"/>
        <w:autoSpaceDE w:val="0"/>
        <w:autoSpaceDN w:val="0"/>
        <w:adjustRightInd w:val="0"/>
        <w:jc w:val="both"/>
        <w:rPr>
          <w:rFonts w:asciiTheme="majorHAnsi" w:hAnsiTheme="majorHAnsi" w:cs="Verdana"/>
          <w:color w:val="171717"/>
          <w:sz w:val="22"/>
          <w:szCs w:val="22"/>
        </w:rPr>
      </w:pPr>
    </w:p>
    <w:p w14:paraId="6F5D093C" w14:textId="4DBF3B09" w:rsidR="00265CC5" w:rsidRPr="00B107FC" w:rsidRDefault="00265CC5" w:rsidP="00B107FC">
      <w:pPr>
        <w:pStyle w:val="ListParagraph"/>
        <w:widowControl w:val="0"/>
        <w:numPr>
          <w:ilvl w:val="0"/>
          <w:numId w:val="20"/>
        </w:numPr>
        <w:autoSpaceDE w:val="0"/>
        <w:autoSpaceDN w:val="0"/>
        <w:adjustRightInd w:val="0"/>
        <w:jc w:val="both"/>
        <w:rPr>
          <w:rFonts w:asciiTheme="majorHAnsi" w:hAnsiTheme="majorHAnsi" w:cs="Verdana"/>
          <w:color w:val="171717"/>
          <w:sz w:val="22"/>
          <w:szCs w:val="22"/>
        </w:rPr>
      </w:pPr>
      <w:r w:rsidRPr="00B107FC">
        <w:rPr>
          <w:rFonts w:asciiTheme="majorHAnsi" w:hAnsiTheme="majorHAnsi" w:cs="Verdana"/>
          <w:color w:val="171717"/>
          <w:sz w:val="22"/>
          <w:szCs w:val="22"/>
        </w:rPr>
        <w:t xml:space="preserve">During the first period, </w:t>
      </w:r>
      <w:r w:rsidRPr="00017F9D">
        <w:rPr>
          <w:rFonts w:asciiTheme="majorHAnsi" w:hAnsiTheme="majorHAnsi" w:cs="Verdana"/>
          <w:color w:val="171717"/>
          <w:sz w:val="22"/>
          <w:szCs w:val="22"/>
          <w:u w:val="single"/>
        </w:rPr>
        <w:t xml:space="preserve">before </w:t>
      </w:r>
      <w:proofErr w:type="spellStart"/>
      <w:r w:rsidRPr="00017F9D">
        <w:rPr>
          <w:rFonts w:asciiTheme="majorHAnsi" w:hAnsiTheme="majorHAnsi" w:cs="Verdana"/>
          <w:color w:val="171717"/>
          <w:sz w:val="22"/>
          <w:szCs w:val="22"/>
          <w:u w:val="single"/>
        </w:rPr>
        <w:t>Spycatcher</w:t>
      </w:r>
      <w:proofErr w:type="spellEnd"/>
      <w:r w:rsidRPr="00017F9D">
        <w:rPr>
          <w:rFonts w:asciiTheme="majorHAnsi" w:hAnsiTheme="majorHAnsi" w:cs="Verdana"/>
          <w:color w:val="171717"/>
          <w:sz w:val="22"/>
          <w:szCs w:val="22"/>
          <w:u w:val="single"/>
        </w:rPr>
        <w:t xml:space="preserve"> had been published in the US</w:t>
      </w:r>
      <w:r w:rsidRPr="00B107FC">
        <w:rPr>
          <w:rFonts w:asciiTheme="majorHAnsi" w:hAnsiTheme="majorHAnsi" w:cs="Verdana"/>
          <w:color w:val="171717"/>
          <w:sz w:val="22"/>
          <w:szCs w:val="22"/>
        </w:rPr>
        <w:t>, the applicants had published two articles</w:t>
      </w:r>
      <w:r w:rsidR="00806429" w:rsidRPr="00B107FC">
        <w:rPr>
          <w:rFonts w:asciiTheme="majorHAnsi" w:hAnsiTheme="majorHAnsi" w:cs="Verdana"/>
          <w:color w:val="171717"/>
          <w:sz w:val="22"/>
          <w:szCs w:val="22"/>
        </w:rPr>
        <w:t>,</w:t>
      </w:r>
      <w:r w:rsidRPr="00B107FC">
        <w:rPr>
          <w:rFonts w:asciiTheme="majorHAnsi" w:hAnsiTheme="majorHAnsi" w:cs="Verdana"/>
          <w:color w:val="171717"/>
          <w:sz w:val="22"/>
          <w:szCs w:val="22"/>
        </w:rPr>
        <w:t xml:space="preserve"> which touched upon allegations in </w:t>
      </w:r>
      <w:proofErr w:type="spellStart"/>
      <w:r w:rsidRPr="00B107FC">
        <w:rPr>
          <w:rFonts w:asciiTheme="majorHAnsi" w:hAnsiTheme="majorHAnsi" w:cs="Verdana"/>
          <w:color w:val="171717"/>
          <w:sz w:val="22"/>
          <w:szCs w:val="22"/>
        </w:rPr>
        <w:t>Spycatcher</w:t>
      </w:r>
      <w:proofErr w:type="spellEnd"/>
      <w:r w:rsidRPr="00B107FC">
        <w:rPr>
          <w:rFonts w:asciiTheme="majorHAnsi" w:hAnsiTheme="majorHAnsi" w:cs="Verdana"/>
          <w:color w:val="171717"/>
          <w:sz w:val="22"/>
          <w:szCs w:val="22"/>
        </w:rPr>
        <w:t xml:space="preserve"> of wrongdoing by the Security Service. Injunctions had been granted on the grounds that the Attorney General was seeking a permanent ban on the publication of </w:t>
      </w:r>
      <w:proofErr w:type="spellStart"/>
      <w:r w:rsidRPr="00B107FC">
        <w:rPr>
          <w:rFonts w:asciiTheme="majorHAnsi" w:hAnsiTheme="majorHAnsi" w:cs="Verdana"/>
          <w:color w:val="171717"/>
          <w:sz w:val="22"/>
          <w:szCs w:val="22"/>
        </w:rPr>
        <w:t>Spycatcher</w:t>
      </w:r>
      <w:proofErr w:type="spellEnd"/>
      <w:r w:rsidRPr="00B107FC">
        <w:rPr>
          <w:rFonts w:asciiTheme="majorHAnsi" w:hAnsiTheme="majorHAnsi" w:cs="Verdana"/>
          <w:color w:val="171717"/>
          <w:sz w:val="22"/>
          <w:szCs w:val="22"/>
        </w:rPr>
        <w:t>; to refuse interlocutory injunctions would effectively destroy the substance of the actions and, with it, the claim to protect national security. These were "relevant" reasons both in terms of protecting national security and of maintaining the authority of the judiciary, and as regards this period the injunction could be justified as "necessary in a democratic society".</w:t>
      </w:r>
    </w:p>
    <w:p w14:paraId="3355A784" w14:textId="77777777" w:rsidR="00B107FC" w:rsidRPr="00B107FC" w:rsidRDefault="00B107FC" w:rsidP="00B107FC">
      <w:pPr>
        <w:widowControl w:val="0"/>
        <w:autoSpaceDE w:val="0"/>
        <w:autoSpaceDN w:val="0"/>
        <w:adjustRightInd w:val="0"/>
        <w:jc w:val="both"/>
        <w:rPr>
          <w:rFonts w:asciiTheme="majorHAnsi" w:hAnsiTheme="majorHAnsi" w:cs="Verdana"/>
          <w:color w:val="171717"/>
          <w:sz w:val="22"/>
          <w:szCs w:val="22"/>
        </w:rPr>
      </w:pPr>
    </w:p>
    <w:p w14:paraId="0D2440AD" w14:textId="77777777" w:rsidR="00265CC5" w:rsidRPr="00B107FC" w:rsidRDefault="00265CC5" w:rsidP="00B107FC">
      <w:pPr>
        <w:pStyle w:val="ListParagraph"/>
        <w:widowControl w:val="0"/>
        <w:numPr>
          <w:ilvl w:val="0"/>
          <w:numId w:val="20"/>
        </w:numPr>
        <w:autoSpaceDE w:val="0"/>
        <w:autoSpaceDN w:val="0"/>
        <w:adjustRightInd w:val="0"/>
        <w:jc w:val="both"/>
        <w:rPr>
          <w:rFonts w:asciiTheme="majorHAnsi" w:hAnsiTheme="majorHAnsi" w:cs="Verdana"/>
          <w:color w:val="171717"/>
          <w:sz w:val="22"/>
          <w:szCs w:val="22"/>
        </w:rPr>
      </w:pPr>
      <w:r w:rsidRPr="00B107FC">
        <w:rPr>
          <w:rFonts w:asciiTheme="majorHAnsi" w:hAnsiTheme="majorHAnsi" w:cs="Verdana"/>
          <w:color w:val="171717"/>
          <w:sz w:val="22"/>
          <w:szCs w:val="22"/>
        </w:rPr>
        <w:t xml:space="preserve">As regards the second period, </w:t>
      </w:r>
      <w:r w:rsidRPr="00017F9D">
        <w:rPr>
          <w:rFonts w:asciiTheme="majorHAnsi" w:hAnsiTheme="majorHAnsi" w:cs="Verdana"/>
          <w:color w:val="171717"/>
          <w:sz w:val="22"/>
          <w:szCs w:val="22"/>
          <w:u w:val="single"/>
        </w:rPr>
        <w:t xml:space="preserve">after </w:t>
      </w:r>
      <w:proofErr w:type="spellStart"/>
      <w:r w:rsidRPr="00017F9D">
        <w:rPr>
          <w:rFonts w:asciiTheme="majorHAnsi" w:hAnsiTheme="majorHAnsi" w:cs="Verdana"/>
          <w:color w:val="171717"/>
          <w:sz w:val="22"/>
          <w:szCs w:val="22"/>
          <w:u w:val="single"/>
        </w:rPr>
        <w:t>Spycatcher</w:t>
      </w:r>
      <w:proofErr w:type="spellEnd"/>
      <w:r w:rsidRPr="00017F9D">
        <w:rPr>
          <w:rFonts w:asciiTheme="majorHAnsi" w:hAnsiTheme="majorHAnsi" w:cs="Verdana"/>
          <w:color w:val="171717"/>
          <w:sz w:val="22"/>
          <w:szCs w:val="22"/>
          <w:u w:val="single"/>
        </w:rPr>
        <w:t xml:space="preserve"> had been published in the US</w:t>
      </w:r>
      <w:r w:rsidRPr="00B107FC">
        <w:rPr>
          <w:rFonts w:asciiTheme="majorHAnsi" w:hAnsiTheme="majorHAnsi" w:cs="Verdana"/>
          <w:color w:val="171717"/>
          <w:sz w:val="22"/>
          <w:szCs w:val="22"/>
        </w:rPr>
        <w:t xml:space="preserve">, the Court observed that the Attorney General's case underwent a metamorphosis. On 14 July 1987 </w:t>
      </w:r>
      <w:proofErr w:type="spellStart"/>
      <w:r w:rsidRPr="00B107FC">
        <w:rPr>
          <w:rFonts w:asciiTheme="majorHAnsi" w:hAnsiTheme="majorHAnsi" w:cs="Verdana"/>
          <w:color w:val="171717"/>
          <w:sz w:val="22"/>
          <w:szCs w:val="22"/>
        </w:rPr>
        <w:t>Spycatcher</w:t>
      </w:r>
      <w:proofErr w:type="spellEnd"/>
      <w:r w:rsidRPr="00B107FC">
        <w:rPr>
          <w:rFonts w:asciiTheme="majorHAnsi" w:hAnsiTheme="majorHAnsi" w:cs="Verdana"/>
          <w:color w:val="171717"/>
          <w:sz w:val="22"/>
          <w:szCs w:val="22"/>
        </w:rPr>
        <w:t xml:space="preserve"> was published in the United States, meaning that </w:t>
      </w:r>
      <w:r w:rsidRPr="00017F9D">
        <w:rPr>
          <w:rFonts w:asciiTheme="majorHAnsi" w:hAnsiTheme="majorHAnsi" w:cs="Verdana"/>
          <w:color w:val="171717"/>
          <w:sz w:val="22"/>
          <w:szCs w:val="22"/>
          <w:u w:val="single"/>
        </w:rPr>
        <w:t xml:space="preserve">the contents of the book ceased to be a matter of speculation and that </w:t>
      </w:r>
      <w:proofErr w:type="gramStart"/>
      <w:r w:rsidRPr="00017F9D">
        <w:rPr>
          <w:rFonts w:asciiTheme="majorHAnsi" w:hAnsiTheme="majorHAnsi" w:cs="Verdana"/>
          <w:color w:val="171717"/>
          <w:sz w:val="22"/>
          <w:szCs w:val="22"/>
          <w:u w:val="single"/>
        </w:rPr>
        <w:t>their</w:t>
      </w:r>
      <w:proofErr w:type="gramEnd"/>
      <w:r w:rsidRPr="00017F9D">
        <w:rPr>
          <w:rFonts w:asciiTheme="majorHAnsi" w:hAnsiTheme="majorHAnsi" w:cs="Verdana"/>
          <w:color w:val="171717"/>
          <w:sz w:val="22"/>
          <w:szCs w:val="22"/>
          <w:u w:val="single"/>
        </w:rPr>
        <w:t xml:space="preserve"> confidentiality was destroyed.</w:t>
      </w:r>
      <w:r w:rsidRPr="00B107FC">
        <w:rPr>
          <w:rFonts w:asciiTheme="majorHAnsi" w:hAnsiTheme="majorHAnsi" w:cs="Verdana"/>
          <w:color w:val="171717"/>
          <w:sz w:val="22"/>
          <w:szCs w:val="22"/>
        </w:rPr>
        <w:t xml:space="preserve"> </w:t>
      </w:r>
      <w:r w:rsidRPr="00017F9D">
        <w:rPr>
          <w:rFonts w:asciiTheme="majorHAnsi" w:hAnsiTheme="majorHAnsi" w:cs="Verdana"/>
          <w:color w:val="171717"/>
          <w:sz w:val="22"/>
          <w:szCs w:val="22"/>
          <w:u w:val="single"/>
        </w:rPr>
        <w:t>The continuation of the injunctions after July 1987 prevented the newspapers from exercising their right and duty to purvey information, already available, on a matter of legitimate public concern.</w:t>
      </w:r>
      <w:r w:rsidRPr="00B107FC">
        <w:rPr>
          <w:rFonts w:asciiTheme="majorHAnsi" w:hAnsiTheme="majorHAnsi" w:cs="Verdana"/>
          <w:color w:val="171717"/>
          <w:sz w:val="22"/>
          <w:szCs w:val="22"/>
        </w:rPr>
        <w:t xml:space="preserve"> Therefore, after 30 July 1987 the interference complained of was no longer "necessary in a democratic society". </w:t>
      </w:r>
    </w:p>
    <w:p w14:paraId="42D1F6BA" w14:textId="77777777" w:rsidR="00320F8B" w:rsidRDefault="00320F8B" w:rsidP="008D3A17">
      <w:pPr>
        <w:widowControl w:val="0"/>
        <w:tabs>
          <w:tab w:val="left" w:pos="220"/>
          <w:tab w:val="left" w:pos="720"/>
        </w:tabs>
        <w:autoSpaceDE w:val="0"/>
        <w:autoSpaceDN w:val="0"/>
        <w:adjustRightInd w:val="0"/>
        <w:jc w:val="both"/>
        <w:rPr>
          <w:rFonts w:asciiTheme="majorHAnsi" w:hAnsiTheme="majorHAnsi" w:cs="Verdana"/>
          <w:color w:val="171717"/>
        </w:rPr>
      </w:pPr>
    </w:p>
    <w:p w14:paraId="0BF31B29" w14:textId="77777777" w:rsidR="008D3A17" w:rsidRPr="008D3A17" w:rsidRDefault="008D3A17" w:rsidP="008D3A17">
      <w:pPr>
        <w:jc w:val="both"/>
        <w:rPr>
          <w:rFonts w:asciiTheme="majorHAnsi" w:hAnsiTheme="majorHAnsi"/>
          <w:b/>
          <w:i/>
          <w:szCs w:val="22"/>
        </w:rPr>
      </w:pPr>
      <w:r w:rsidRPr="008D3A17">
        <w:rPr>
          <w:rFonts w:asciiTheme="majorHAnsi" w:hAnsiTheme="majorHAnsi"/>
          <w:b/>
          <w:i/>
          <w:szCs w:val="22"/>
        </w:rPr>
        <w:t xml:space="preserve">European Court for Human Rights, </w:t>
      </w:r>
      <w:proofErr w:type="spellStart"/>
      <w:r w:rsidRPr="008D3A17">
        <w:rPr>
          <w:rFonts w:asciiTheme="majorHAnsi" w:hAnsiTheme="majorHAnsi"/>
          <w:b/>
          <w:i/>
          <w:szCs w:val="22"/>
        </w:rPr>
        <w:t>Vereniging</w:t>
      </w:r>
      <w:proofErr w:type="spellEnd"/>
      <w:r w:rsidRPr="008D3A17">
        <w:rPr>
          <w:rFonts w:asciiTheme="majorHAnsi" w:hAnsiTheme="majorHAnsi"/>
          <w:b/>
          <w:i/>
          <w:szCs w:val="22"/>
        </w:rPr>
        <w:t xml:space="preserve"> </w:t>
      </w:r>
      <w:proofErr w:type="spellStart"/>
      <w:r w:rsidRPr="008D3A17">
        <w:rPr>
          <w:rFonts w:asciiTheme="majorHAnsi" w:hAnsiTheme="majorHAnsi"/>
          <w:b/>
          <w:i/>
          <w:szCs w:val="22"/>
        </w:rPr>
        <w:t>Weekblad</w:t>
      </w:r>
      <w:proofErr w:type="spellEnd"/>
      <w:r w:rsidRPr="008D3A17">
        <w:rPr>
          <w:rFonts w:asciiTheme="majorHAnsi" w:hAnsiTheme="majorHAnsi"/>
          <w:b/>
          <w:i/>
          <w:szCs w:val="22"/>
        </w:rPr>
        <w:t xml:space="preserve"> </w:t>
      </w:r>
      <w:proofErr w:type="spellStart"/>
      <w:r w:rsidRPr="008D3A17">
        <w:rPr>
          <w:rFonts w:asciiTheme="majorHAnsi" w:hAnsiTheme="majorHAnsi"/>
          <w:b/>
          <w:i/>
        </w:rPr>
        <w:t>Bluf</w:t>
      </w:r>
      <w:proofErr w:type="spellEnd"/>
      <w:r w:rsidRPr="008D3A17">
        <w:rPr>
          <w:rFonts w:asciiTheme="majorHAnsi" w:hAnsiTheme="majorHAnsi"/>
          <w:b/>
          <w:i/>
        </w:rPr>
        <w:t>!</w:t>
      </w:r>
      <w:r w:rsidRPr="008D3A17">
        <w:rPr>
          <w:rFonts w:asciiTheme="majorHAnsi" w:hAnsiTheme="majorHAnsi"/>
          <w:b/>
          <w:i/>
          <w:szCs w:val="22"/>
        </w:rPr>
        <w:t xml:space="preserve"> v. Netherlands.</w:t>
      </w:r>
      <w:r w:rsidRPr="008D3A17">
        <w:rPr>
          <w:rStyle w:val="FootnoteReference"/>
          <w:rFonts w:asciiTheme="majorHAnsi" w:hAnsiTheme="majorHAnsi"/>
          <w:b/>
          <w:szCs w:val="22"/>
        </w:rPr>
        <w:footnoteReference w:id="39"/>
      </w:r>
      <w:r w:rsidRPr="008D3A17">
        <w:rPr>
          <w:rFonts w:asciiTheme="majorHAnsi" w:hAnsiTheme="majorHAnsi"/>
          <w:b/>
          <w:i/>
          <w:szCs w:val="22"/>
        </w:rPr>
        <w:t xml:space="preserve"> </w:t>
      </w:r>
    </w:p>
    <w:p w14:paraId="0865A25B" w14:textId="77777777" w:rsidR="008D3A17" w:rsidRPr="0047018F" w:rsidRDefault="008D3A17" w:rsidP="008D3A17">
      <w:pPr>
        <w:jc w:val="both"/>
        <w:rPr>
          <w:rFonts w:asciiTheme="majorHAnsi" w:hAnsiTheme="majorHAnsi"/>
          <w:sz w:val="22"/>
          <w:szCs w:val="22"/>
        </w:rPr>
      </w:pPr>
      <w:r w:rsidRPr="0047018F">
        <w:rPr>
          <w:rFonts w:asciiTheme="majorHAnsi" w:hAnsiTheme="majorHAnsi"/>
          <w:sz w:val="22"/>
          <w:szCs w:val="22"/>
        </w:rPr>
        <w:t>The magazine had got hold of an internal report by the internal security service (BVD). It showed the extent of the BVD's monitoring of the Communist Party and the anti-nuclear movement. The special issue of the magazine containing details of the report was seized. However, the offset plates were not and the magazine simply reprinted its issue. Later a court order was obtained banning the issue from circulation.</w:t>
      </w:r>
    </w:p>
    <w:p w14:paraId="3E1221D9" w14:textId="77777777" w:rsidR="008D3A17" w:rsidRPr="0047018F" w:rsidRDefault="008D3A17" w:rsidP="008D3A17">
      <w:pPr>
        <w:jc w:val="both"/>
        <w:rPr>
          <w:rFonts w:asciiTheme="majorHAnsi" w:hAnsiTheme="majorHAnsi"/>
          <w:sz w:val="22"/>
          <w:szCs w:val="22"/>
        </w:rPr>
      </w:pPr>
    </w:p>
    <w:p w14:paraId="58A962CA" w14:textId="0784EA6E" w:rsidR="008D3A17" w:rsidRPr="0047018F" w:rsidRDefault="008D3A17" w:rsidP="008D3A17">
      <w:pPr>
        <w:jc w:val="both"/>
        <w:rPr>
          <w:rFonts w:asciiTheme="majorHAnsi" w:hAnsiTheme="majorHAnsi"/>
          <w:sz w:val="22"/>
          <w:szCs w:val="22"/>
        </w:rPr>
      </w:pPr>
      <w:r w:rsidRPr="0047018F">
        <w:rPr>
          <w:rFonts w:asciiTheme="majorHAnsi" w:hAnsiTheme="majorHAnsi"/>
          <w:sz w:val="22"/>
          <w:szCs w:val="22"/>
        </w:rPr>
        <w:t>The Strasbourg Court found</w:t>
      </w:r>
      <w:r w:rsidR="00017F9D">
        <w:rPr>
          <w:rFonts w:asciiTheme="majorHAnsi" w:hAnsiTheme="majorHAnsi"/>
          <w:sz w:val="22"/>
          <w:szCs w:val="22"/>
        </w:rPr>
        <w:t xml:space="preserve"> </w:t>
      </w:r>
      <w:r w:rsidRPr="0047018F">
        <w:rPr>
          <w:rFonts w:asciiTheme="majorHAnsi" w:hAnsiTheme="majorHAnsi"/>
          <w:sz w:val="22"/>
          <w:szCs w:val="22"/>
        </w:rPr>
        <w:t xml:space="preserve">that the court order withdrawing the magazine from circulation was </w:t>
      </w:r>
      <w:r w:rsidRPr="00017F9D">
        <w:rPr>
          <w:rFonts w:asciiTheme="majorHAnsi" w:hAnsiTheme="majorHAnsi"/>
          <w:sz w:val="22"/>
          <w:szCs w:val="22"/>
          <w:u w:val="single"/>
        </w:rPr>
        <w:t>not a necessary interference with Article 10, since the information in the issue was already publicly known.</w:t>
      </w:r>
      <w:r w:rsidRPr="0047018F">
        <w:rPr>
          <w:rFonts w:asciiTheme="majorHAnsi" w:hAnsiTheme="majorHAnsi"/>
          <w:sz w:val="22"/>
          <w:szCs w:val="22"/>
        </w:rPr>
        <w:t xml:space="preserve"> (The Court also questioned whether the contents were genuinely secret.) However, it rejected the argument from the magazine that Article 10 would in all instances prevent a state from seizing and withdrawing material from circulation. National authorities have to be able to take steps to prevent disclosure of secrets when this is truly necessary for national security.</w:t>
      </w:r>
    </w:p>
    <w:p w14:paraId="7BC53165" w14:textId="77777777" w:rsidR="0047018F" w:rsidRDefault="0047018F" w:rsidP="008D3A17">
      <w:pPr>
        <w:widowControl w:val="0"/>
        <w:tabs>
          <w:tab w:val="left" w:pos="220"/>
          <w:tab w:val="left" w:pos="720"/>
        </w:tabs>
        <w:autoSpaceDE w:val="0"/>
        <w:autoSpaceDN w:val="0"/>
        <w:adjustRightInd w:val="0"/>
        <w:jc w:val="both"/>
        <w:rPr>
          <w:rFonts w:asciiTheme="majorHAnsi" w:hAnsiTheme="majorHAnsi" w:cs="Times"/>
          <w:b/>
          <w:i/>
          <w:iCs/>
        </w:rPr>
      </w:pPr>
    </w:p>
    <w:p w14:paraId="753FBADE" w14:textId="77777777" w:rsidR="00320F8B" w:rsidRPr="008D3A17" w:rsidRDefault="00320F8B" w:rsidP="008D3A17">
      <w:pPr>
        <w:widowControl w:val="0"/>
        <w:tabs>
          <w:tab w:val="left" w:pos="220"/>
          <w:tab w:val="left" w:pos="720"/>
        </w:tabs>
        <w:autoSpaceDE w:val="0"/>
        <w:autoSpaceDN w:val="0"/>
        <w:adjustRightInd w:val="0"/>
        <w:jc w:val="both"/>
        <w:rPr>
          <w:rFonts w:asciiTheme="majorHAnsi" w:hAnsiTheme="majorHAnsi" w:cs="Times New Roman"/>
          <w:b/>
          <w:position w:val="16"/>
        </w:rPr>
      </w:pPr>
      <w:r w:rsidRPr="008D3A17">
        <w:rPr>
          <w:rFonts w:asciiTheme="majorHAnsi" w:hAnsiTheme="majorHAnsi" w:cs="Times"/>
          <w:b/>
          <w:i/>
          <w:iCs/>
        </w:rPr>
        <w:t>E</w:t>
      </w:r>
      <w:r w:rsidR="008D3A17">
        <w:rPr>
          <w:rFonts w:asciiTheme="majorHAnsi" w:hAnsiTheme="majorHAnsi" w:cs="Times"/>
          <w:b/>
          <w:i/>
          <w:iCs/>
        </w:rPr>
        <w:t xml:space="preserve">uropean </w:t>
      </w:r>
      <w:r w:rsidRPr="008D3A17">
        <w:rPr>
          <w:rFonts w:asciiTheme="majorHAnsi" w:hAnsiTheme="majorHAnsi" w:cs="Times"/>
          <w:b/>
          <w:i/>
          <w:iCs/>
        </w:rPr>
        <w:t>C</w:t>
      </w:r>
      <w:r w:rsidR="008D3A17">
        <w:rPr>
          <w:rFonts w:asciiTheme="majorHAnsi" w:hAnsiTheme="majorHAnsi" w:cs="Times"/>
          <w:b/>
          <w:i/>
          <w:iCs/>
        </w:rPr>
        <w:t xml:space="preserve">ourt for </w:t>
      </w:r>
      <w:r w:rsidRPr="008D3A17">
        <w:rPr>
          <w:rFonts w:asciiTheme="majorHAnsi" w:hAnsiTheme="majorHAnsi" w:cs="Times"/>
          <w:b/>
          <w:i/>
          <w:iCs/>
        </w:rPr>
        <w:t>H</w:t>
      </w:r>
      <w:r w:rsidR="008D3A17">
        <w:rPr>
          <w:rFonts w:asciiTheme="majorHAnsi" w:hAnsiTheme="majorHAnsi" w:cs="Times"/>
          <w:b/>
          <w:i/>
          <w:iCs/>
        </w:rPr>
        <w:t xml:space="preserve">uman </w:t>
      </w:r>
      <w:r w:rsidRPr="008D3A17">
        <w:rPr>
          <w:rFonts w:asciiTheme="majorHAnsi" w:hAnsiTheme="majorHAnsi" w:cs="Times"/>
          <w:b/>
          <w:i/>
          <w:iCs/>
        </w:rPr>
        <w:t>R</w:t>
      </w:r>
      <w:r w:rsidR="008D3A17">
        <w:rPr>
          <w:rFonts w:asciiTheme="majorHAnsi" w:hAnsiTheme="majorHAnsi" w:cs="Times"/>
          <w:b/>
          <w:i/>
          <w:iCs/>
        </w:rPr>
        <w:t>ights</w:t>
      </w:r>
      <w:r w:rsidRPr="008D3A17">
        <w:rPr>
          <w:rFonts w:asciiTheme="majorHAnsi" w:hAnsiTheme="majorHAnsi" w:cs="Times"/>
          <w:b/>
          <w:i/>
          <w:iCs/>
        </w:rPr>
        <w:t xml:space="preserve">, </w:t>
      </w:r>
      <w:proofErr w:type="spellStart"/>
      <w:r w:rsidRPr="008D3A17">
        <w:rPr>
          <w:rFonts w:asciiTheme="majorHAnsi" w:hAnsiTheme="majorHAnsi" w:cs="Times"/>
          <w:b/>
          <w:i/>
          <w:iCs/>
        </w:rPr>
        <w:t>Guja</w:t>
      </w:r>
      <w:proofErr w:type="spellEnd"/>
      <w:r w:rsidRPr="008D3A17">
        <w:rPr>
          <w:rFonts w:asciiTheme="majorHAnsi" w:hAnsiTheme="majorHAnsi" w:cs="Times"/>
          <w:b/>
          <w:i/>
          <w:iCs/>
        </w:rPr>
        <w:t xml:space="preserve"> v Moldova</w:t>
      </w:r>
      <w:r w:rsidRPr="008D3A17">
        <w:rPr>
          <w:rFonts w:asciiTheme="majorHAnsi" w:hAnsiTheme="majorHAnsi" w:cs="Times New Roman"/>
          <w:b/>
        </w:rPr>
        <w:t xml:space="preserve"> (</w:t>
      </w:r>
      <w:r w:rsidRPr="008D3A17">
        <w:rPr>
          <w:rFonts w:asciiTheme="majorHAnsi" w:hAnsiTheme="majorHAnsi" w:cs="Times"/>
          <w:b/>
          <w:i/>
          <w:iCs/>
        </w:rPr>
        <w:t>Whistleblower)</w:t>
      </w:r>
    </w:p>
    <w:p w14:paraId="28F0CE89" w14:textId="77777777" w:rsidR="008D3A17" w:rsidRPr="0047018F" w:rsidRDefault="008D3A17" w:rsidP="008D3A17">
      <w:pPr>
        <w:widowControl w:val="0"/>
        <w:tabs>
          <w:tab w:val="left" w:pos="220"/>
          <w:tab w:val="left" w:pos="720"/>
        </w:tabs>
        <w:autoSpaceDE w:val="0"/>
        <w:autoSpaceDN w:val="0"/>
        <w:adjustRightInd w:val="0"/>
        <w:jc w:val="both"/>
        <w:rPr>
          <w:rFonts w:asciiTheme="majorHAnsi" w:hAnsiTheme="majorHAnsi" w:cs="Times New Roman"/>
          <w:sz w:val="22"/>
          <w:szCs w:val="22"/>
        </w:rPr>
      </w:pPr>
      <w:r w:rsidRPr="0047018F">
        <w:rPr>
          <w:rFonts w:asciiTheme="majorHAnsi" w:hAnsiTheme="majorHAnsi" w:cs="Times New Roman"/>
          <w:sz w:val="22"/>
          <w:szCs w:val="22"/>
        </w:rPr>
        <w:t>The European Court for</w:t>
      </w:r>
      <w:r w:rsidR="00320F8B" w:rsidRPr="0047018F">
        <w:rPr>
          <w:rFonts w:asciiTheme="majorHAnsi" w:hAnsiTheme="majorHAnsi" w:cs="Times New Roman"/>
          <w:sz w:val="22"/>
          <w:szCs w:val="22"/>
        </w:rPr>
        <w:t xml:space="preserve"> Human Rights considered a freedom of expression claim by a civil servant who was dismissed from his employment after having disclosed to the media two classified letters that were sent to Prosecutor General’s Office and which revealed political corruption. </w:t>
      </w:r>
    </w:p>
    <w:p w14:paraId="39302939" w14:textId="77777777" w:rsidR="008D3A17" w:rsidRPr="0047018F" w:rsidRDefault="008D3A17" w:rsidP="008D3A17">
      <w:pPr>
        <w:widowControl w:val="0"/>
        <w:tabs>
          <w:tab w:val="left" w:pos="220"/>
          <w:tab w:val="left" w:pos="720"/>
        </w:tabs>
        <w:autoSpaceDE w:val="0"/>
        <w:autoSpaceDN w:val="0"/>
        <w:adjustRightInd w:val="0"/>
        <w:jc w:val="both"/>
        <w:rPr>
          <w:rFonts w:asciiTheme="majorHAnsi" w:hAnsiTheme="majorHAnsi" w:cs="Times New Roman"/>
          <w:sz w:val="22"/>
          <w:szCs w:val="22"/>
        </w:rPr>
      </w:pPr>
    </w:p>
    <w:p w14:paraId="07AA462E" w14:textId="031EAECF" w:rsidR="00320F8B" w:rsidRPr="0047018F" w:rsidRDefault="00320F8B" w:rsidP="008D3A17">
      <w:pPr>
        <w:widowControl w:val="0"/>
        <w:tabs>
          <w:tab w:val="left" w:pos="220"/>
          <w:tab w:val="left" w:pos="720"/>
        </w:tabs>
        <w:autoSpaceDE w:val="0"/>
        <w:autoSpaceDN w:val="0"/>
        <w:adjustRightInd w:val="0"/>
        <w:jc w:val="both"/>
        <w:rPr>
          <w:rFonts w:asciiTheme="majorHAnsi" w:hAnsiTheme="majorHAnsi" w:cs="Times New Roman"/>
          <w:sz w:val="22"/>
          <w:szCs w:val="22"/>
        </w:rPr>
      </w:pPr>
      <w:r w:rsidRPr="0047018F">
        <w:rPr>
          <w:rFonts w:asciiTheme="majorHAnsi" w:hAnsiTheme="majorHAnsi" w:cs="Times New Roman"/>
          <w:sz w:val="22"/>
          <w:szCs w:val="22"/>
        </w:rPr>
        <w:t xml:space="preserve">The Court </w:t>
      </w:r>
      <w:r w:rsidR="008A1BD4">
        <w:rPr>
          <w:rFonts w:asciiTheme="majorHAnsi" w:hAnsiTheme="majorHAnsi" w:cs="Times New Roman"/>
          <w:sz w:val="22"/>
          <w:szCs w:val="22"/>
        </w:rPr>
        <w:t>found a violation of Article 10. It determines</w:t>
      </w:r>
      <w:r w:rsidRPr="0047018F">
        <w:rPr>
          <w:rFonts w:asciiTheme="majorHAnsi" w:hAnsiTheme="majorHAnsi" w:cs="Times New Roman"/>
          <w:sz w:val="22"/>
          <w:szCs w:val="22"/>
        </w:rPr>
        <w:t xml:space="preserve"> that civil servants enjoy the right to freedom of expression and that, in considering the proportionality of any interference with that right, it is essential to take into account the </w:t>
      </w:r>
      <w:r w:rsidRPr="0047018F">
        <w:rPr>
          <w:rFonts w:asciiTheme="majorHAnsi" w:hAnsiTheme="majorHAnsi" w:cs="Times New Roman"/>
          <w:sz w:val="22"/>
          <w:szCs w:val="22"/>
          <w:u w:val="single"/>
        </w:rPr>
        <w:t>public interest</w:t>
      </w:r>
      <w:r w:rsidRPr="0047018F">
        <w:rPr>
          <w:rFonts w:asciiTheme="majorHAnsi" w:hAnsiTheme="majorHAnsi" w:cs="Times New Roman"/>
          <w:sz w:val="22"/>
          <w:szCs w:val="22"/>
        </w:rPr>
        <w:t xml:space="preserve"> involved i</w:t>
      </w:r>
      <w:r w:rsidR="008A1BD4">
        <w:rPr>
          <w:rFonts w:asciiTheme="majorHAnsi" w:hAnsiTheme="majorHAnsi" w:cs="Times New Roman"/>
          <w:sz w:val="22"/>
          <w:szCs w:val="22"/>
        </w:rPr>
        <w:t xml:space="preserve">n disclosing the information. The Court found that public interest </w:t>
      </w:r>
      <w:r w:rsidRPr="0047018F">
        <w:rPr>
          <w:rFonts w:asciiTheme="majorHAnsi" w:hAnsiTheme="majorHAnsi" w:cs="Times New Roman"/>
          <w:sz w:val="22"/>
          <w:szCs w:val="22"/>
        </w:rPr>
        <w:t xml:space="preserve">could be sufficiently strong as to override </w:t>
      </w:r>
      <w:r w:rsidR="008A1BD4">
        <w:rPr>
          <w:rFonts w:asciiTheme="majorHAnsi" w:hAnsiTheme="majorHAnsi" w:cs="Times New Roman"/>
          <w:sz w:val="22"/>
          <w:szCs w:val="22"/>
        </w:rPr>
        <w:t xml:space="preserve">civil servants </w:t>
      </w:r>
      <w:r w:rsidRPr="0047018F">
        <w:rPr>
          <w:rFonts w:asciiTheme="majorHAnsi" w:hAnsiTheme="majorHAnsi" w:cs="Times New Roman"/>
          <w:sz w:val="22"/>
          <w:szCs w:val="22"/>
        </w:rPr>
        <w:t>duty of confidence, even in informatio</w:t>
      </w:r>
      <w:r w:rsidR="008A1BD4">
        <w:rPr>
          <w:rFonts w:asciiTheme="majorHAnsi" w:hAnsiTheme="majorHAnsi" w:cs="Times New Roman"/>
          <w:sz w:val="22"/>
          <w:szCs w:val="22"/>
        </w:rPr>
        <w:t>n that was classified as secret.</w:t>
      </w:r>
      <w:r w:rsidRPr="0047018F">
        <w:rPr>
          <w:rFonts w:asciiTheme="majorHAnsi" w:hAnsiTheme="majorHAnsi" w:cs="Times New Roman"/>
          <w:sz w:val="22"/>
          <w:szCs w:val="22"/>
        </w:rPr>
        <w:t xml:space="preserve"> The interest</w:t>
      </w:r>
      <w:r w:rsidR="0047018F">
        <w:rPr>
          <w:rFonts w:asciiTheme="majorHAnsi" w:hAnsiTheme="majorHAnsi" w:cs="Times New Roman"/>
          <w:sz w:val="22"/>
          <w:szCs w:val="22"/>
        </w:rPr>
        <w:t>,</w:t>
      </w:r>
      <w:r w:rsidRPr="0047018F">
        <w:rPr>
          <w:rFonts w:asciiTheme="majorHAnsi" w:hAnsiTheme="majorHAnsi" w:cs="Times New Roman"/>
          <w:sz w:val="22"/>
          <w:szCs w:val="22"/>
        </w:rPr>
        <w:t xml:space="preserve"> which the public may have in particular information</w:t>
      </w:r>
      <w:r w:rsidR="0047018F">
        <w:rPr>
          <w:rFonts w:asciiTheme="majorHAnsi" w:hAnsiTheme="majorHAnsi" w:cs="Times New Roman"/>
          <w:sz w:val="22"/>
          <w:szCs w:val="22"/>
        </w:rPr>
        <w:t>,</w:t>
      </w:r>
      <w:r w:rsidRPr="0047018F">
        <w:rPr>
          <w:rFonts w:asciiTheme="majorHAnsi" w:hAnsiTheme="majorHAnsi" w:cs="Times New Roman"/>
          <w:sz w:val="22"/>
          <w:szCs w:val="22"/>
        </w:rPr>
        <w:t xml:space="preserve"> can sometimes be so strong as to override even a legally imposed duty of confidence...  </w:t>
      </w:r>
    </w:p>
    <w:p w14:paraId="2A52F75A" w14:textId="77777777" w:rsidR="00320F8B" w:rsidRPr="0047018F" w:rsidRDefault="00320F8B" w:rsidP="008D3A17">
      <w:pPr>
        <w:widowControl w:val="0"/>
        <w:tabs>
          <w:tab w:val="left" w:pos="220"/>
          <w:tab w:val="left" w:pos="720"/>
        </w:tabs>
        <w:autoSpaceDE w:val="0"/>
        <w:autoSpaceDN w:val="0"/>
        <w:adjustRightInd w:val="0"/>
        <w:jc w:val="both"/>
        <w:rPr>
          <w:rFonts w:asciiTheme="majorHAnsi" w:hAnsiTheme="majorHAnsi" w:cs="Times New Roman"/>
          <w:sz w:val="22"/>
          <w:szCs w:val="22"/>
        </w:rPr>
      </w:pPr>
    </w:p>
    <w:p w14:paraId="4BE80AB7" w14:textId="77777777" w:rsidR="00320F8B" w:rsidRPr="008D3A17" w:rsidRDefault="00320F8B" w:rsidP="008D3A17">
      <w:pPr>
        <w:jc w:val="both"/>
        <w:rPr>
          <w:rFonts w:asciiTheme="majorHAnsi" w:hAnsiTheme="majorHAnsi"/>
          <w:b/>
          <w:szCs w:val="22"/>
        </w:rPr>
      </w:pPr>
      <w:r w:rsidRPr="008D3A17">
        <w:rPr>
          <w:rFonts w:asciiTheme="majorHAnsi" w:hAnsiTheme="majorHAnsi"/>
          <w:b/>
          <w:i/>
          <w:szCs w:val="22"/>
        </w:rPr>
        <w:t xml:space="preserve">Human Rights Committee, </w:t>
      </w:r>
      <w:proofErr w:type="spellStart"/>
      <w:r w:rsidRPr="008D3A17">
        <w:rPr>
          <w:rFonts w:asciiTheme="majorHAnsi" w:hAnsiTheme="majorHAnsi"/>
          <w:b/>
          <w:i/>
          <w:szCs w:val="22"/>
        </w:rPr>
        <w:t>Mukong</w:t>
      </w:r>
      <w:proofErr w:type="spellEnd"/>
      <w:r w:rsidRPr="008D3A17">
        <w:rPr>
          <w:rFonts w:asciiTheme="majorHAnsi" w:hAnsiTheme="majorHAnsi"/>
          <w:b/>
          <w:i/>
          <w:szCs w:val="22"/>
        </w:rPr>
        <w:t xml:space="preserve"> v. Cameroon</w:t>
      </w:r>
      <w:r w:rsidRPr="008D3A17">
        <w:rPr>
          <w:rStyle w:val="FootnoteReference"/>
          <w:rFonts w:asciiTheme="majorHAnsi" w:hAnsiTheme="majorHAnsi"/>
          <w:b/>
          <w:i/>
          <w:szCs w:val="22"/>
        </w:rPr>
        <w:footnoteReference w:id="40"/>
      </w:r>
      <w:r w:rsidRPr="008D3A17">
        <w:rPr>
          <w:rFonts w:asciiTheme="majorHAnsi" w:hAnsiTheme="majorHAnsi"/>
          <w:b/>
          <w:szCs w:val="22"/>
        </w:rPr>
        <w:t xml:space="preserve"> </w:t>
      </w:r>
    </w:p>
    <w:p w14:paraId="1FEFF236" w14:textId="77777777" w:rsidR="00320F8B" w:rsidRPr="0047018F" w:rsidRDefault="00320F8B" w:rsidP="008D3A17">
      <w:pPr>
        <w:jc w:val="both"/>
        <w:rPr>
          <w:rFonts w:asciiTheme="majorHAnsi" w:hAnsiTheme="majorHAnsi"/>
          <w:sz w:val="22"/>
          <w:szCs w:val="22"/>
        </w:rPr>
      </w:pPr>
      <w:r w:rsidRPr="0047018F">
        <w:rPr>
          <w:rFonts w:asciiTheme="majorHAnsi" w:hAnsiTheme="majorHAnsi"/>
          <w:sz w:val="22"/>
          <w:szCs w:val="22"/>
        </w:rPr>
        <w:t xml:space="preserve">Albert </w:t>
      </w:r>
      <w:proofErr w:type="spellStart"/>
      <w:r w:rsidRPr="0047018F">
        <w:rPr>
          <w:rFonts w:asciiTheme="majorHAnsi" w:hAnsiTheme="majorHAnsi"/>
          <w:sz w:val="22"/>
          <w:szCs w:val="22"/>
        </w:rPr>
        <w:t>Mukong</w:t>
      </w:r>
      <w:proofErr w:type="spellEnd"/>
      <w:r w:rsidRPr="0047018F">
        <w:rPr>
          <w:rFonts w:asciiTheme="majorHAnsi" w:hAnsiTheme="majorHAnsi"/>
          <w:sz w:val="22"/>
          <w:szCs w:val="22"/>
        </w:rPr>
        <w:t xml:space="preserve"> was a journalist and author who had spoken publicly, criticizing the president and Government.</w:t>
      </w:r>
      <w:r w:rsidRPr="0047018F">
        <w:rPr>
          <w:rStyle w:val="FootnoteReference"/>
          <w:rFonts w:asciiTheme="majorHAnsi" w:hAnsiTheme="majorHAnsi"/>
          <w:sz w:val="22"/>
          <w:szCs w:val="22"/>
        </w:rPr>
        <w:t xml:space="preserve"> </w:t>
      </w:r>
      <w:r w:rsidRPr="0047018F">
        <w:rPr>
          <w:rStyle w:val="FootnoteReference"/>
          <w:rFonts w:asciiTheme="majorHAnsi" w:hAnsiTheme="majorHAnsi"/>
          <w:sz w:val="22"/>
          <w:szCs w:val="22"/>
        </w:rPr>
        <w:footnoteReference w:id="41"/>
      </w:r>
      <w:r w:rsidRPr="0047018F">
        <w:rPr>
          <w:rFonts w:asciiTheme="majorHAnsi" w:hAnsiTheme="majorHAnsi"/>
          <w:sz w:val="22"/>
          <w:szCs w:val="22"/>
        </w:rPr>
        <w:t xml:space="preserve"> He was arrested twice under a law that criminalized statements "</w:t>
      </w:r>
      <w:proofErr w:type="spellStart"/>
      <w:r w:rsidRPr="0047018F">
        <w:rPr>
          <w:rFonts w:asciiTheme="majorHAnsi" w:hAnsiTheme="majorHAnsi"/>
          <w:sz w:val="22"/>
          <w:szCs w:val="22"/>
        </w:rPr>
        <w:t>intoxicat</w:t>
      </w:r>
      <w:proofErr w:type="spellEnd"/>
      <w:r w:rsidRPr="0047018F">
        <w:rPr>
          <w:rFonts w:asciiTheme="majorHAnsi" w:hAnsiTheme="majorHAnsi"/>
          <w:sz w:val="22"/>
          <w:szCs w:val="22"/>
        </w:rPr>
        <w:t>[</w:t>
      </w:r>
      <w:proofErr w:type="spellStart"/>
      <w:r w:rsidRPr="0047018F">
        <w:rPr>
          <w:rFonts w:asciiTheme="majorHAnsi" w:hAnsiTheme="majorHAnsi"/>
          <w:sz w:val="22"/>
          <w:szCs w:val="22"/>
        </w:rPr>
        <w:t>ing</w:t>
      </w:r>
      <w:proofErr w:type="spellEnd"/>
      <w:r w:rsidRPr="0047018F">
        <w:rPr>
          <w:rFonts w:asciiTheme="majorHAnsi" w:hAnsiTheme="majorHAnsi"/>
          <w:sz w:val="22"/>
          <w:szCs w:val="22"/>
        </w:rPr>
        <w:t>] national or international public opinion."</w:t>
      </w:r>
    </w:p>
    <w:p w14:paraId="532BD264" w14:textId="77777777" w:rsidR="00320F8B" w:rsidRPr="0047018F" w:rsidRDefault="00320F8B" w:rsidP="008D3A17">
      <w:pPr>
        <w:jc w:val="both"/>
        <w:rPr>
          <w:rFonts w:asciiTheme="majorHAnsi" w:hAnsiTheme="majorHAnsi"/>
          <w:sz w:val="22"/>
          <w:szCs w:val="22"/>
        </w:rPr>
      </w:pPr>
    </w:p>
    <w:p w14:paraId="533318D3" w14:textId="77777777" w:rsidR="00320F8B" w:rsidRDefault="00320F8B" w:rsidP="008D3A17">
      <w:pPr>
        <w:jc w:val="both"/>
        <w:rPr>
          <w:rFonts w:asciiTheme="majorHAnsi" w:hAnsiTheme="majorHAnsi"/>
          <w:sz w:val="22"/>
          <w:szCs w:val="22"/>
        </w:rPr>
      </w:pPr>
      <w:r w:rsidRPr="0047018F">
        <w:rPr>
          <w:rFonts w:asciiTheme="majorHAnsi" w:hAnsiTheme="majorHAnsi"/>
          <w:sz w:val="22"/>
          <w:szCs w:val="22"/>
        </w:rPr>
        <w:t>The government justified the arrests to the Committee on national security grounds. The Committee disagreed. Laws of this breadth that "muzzled advocacy of multi-party democracy, democratic tenets and human rights" could not be necessary.</w:t>
      </w:r>
      <w:r w:rsidRPr="0047018F">
        <w:rPr>
          <w:rStyle w:val="FootnoteReference"/>
          <w:rFonts w:asciiTheme="majorHAnsi" w:hAnsiTheme="majorHAnsi"/>
          <w:sz w:val="22"/>
          <w:szCs w:val="22"/>
        </w:rPr>
        <w:footnoteReference w:id="42"/>
      </w:r>
    </w:p>
    <w:p w14:paraId="02D38C70" w14:textId="77777777" w:rsidR="00656CFD" w:rsidRDefault="00656CFD" w:rsidP="008D3A17">
      <w:pPr>
        <w:jc w:val="both"/>
        <w:rPr>
          <w:rFonts w:asciiTheme="majorHAnsi" w:hAnsiTheme="majorHAnsi"/>
          <w:sz w:val="22"/>
          <w:szCs w:val="22"/>
        </w:rPr>
      </w:pPr>
    </w:p>
    <w:p w14:paraId="10921EC4" w14:textId="77777777" w:rsidR="00656CFD" w:rsidRPr="00656CFD" w:rsidRDefault="00656CFD" w:rsidP="008D3A17">
      <w:pPr>
        <w:jc w:val="both"/>
        <w:rPr>
          <w:rFonts w:asciiTheme="majorHAnsi" w:hAnsiTheme="majorHAnsi" w:cs="Times"/>
          <w:sz w:val="22"/>
          <w:szCs w:val="22"/>
        </w:rPr>
      </w:pPr>
      <w:r w:rsidRPr="00656CFD">
        <w:rPr>
          <w:rFonts w:asciiTheme="majorHAnsi" w:hAnsiTheme="majorHAnsi" w:cs="Times"/>
          <w:sz w:val="22"/>
          <w:szCs w:val="22"/>
        </w:rPr>
        <w:t xml:space="preserve">The Government had indirectly justified its actions on grounds of national security and/or public order, by arguing that the author's right to freedom of expression was exercised without regard to the country's political context and continued struggle for unity. </w:t>
      </w:r>
    </w:p>
    <w:p w14:paraId="7FDDBBA4" w14:textId="77777777" w:rsidR="00656CFD" w:rsidRPr="00656CFD" w:rsidRDefault="00656CFD" w:rsidP="008D3A17">
      <w:pPr>
        <w:jc w:val="both"/>
        <w:rPr>
          <w:rFonts w:asciiTheme="majorHAnsi" w:hAnsiTheme="majorHAnsi" w:cs="Times"/>
          <w:sz w:val="22"/>
          <w:szCs w:val="22"/>
        </w:rPr>
      </w:pPr>
    </w:p>
    <w:p w14:paraId="08BF68CD" w14:textId="2AFA8B43" w:rsidR="00656CFD" w:rsidRPr="00656CFD" w:rsidRDefault="00656CFD" w:rsidP="008D3A17">
      <w:pPr>
        <w:jc w:val="both"/>
        <w:rPr>
          <w:rFonts w:asciiTheme="majorHAnsi" w:hAnsiTheme="majorHAnsi"/>
        </w:rPr>
      </w:pPr>
      <w:r w:rsidRPr="00656CFD">
        <w:rPr>
          <w:rFonts w:asciiTheme="majorHAnsi" w:hAnsiTheme="majorHAnsi" w:cs="Times"/>
          <w:sz w:val="22"/>
          <w:szCs w:val="22"/>
        </w:rPr>
        <w:t xml:space="preserve">The Committee decided that it was not necessary to safeguard an alleged vulnerable state of national unity by subjecting the author to arrest, continued detention and treatment in violation of article 7. It further considers that </w:t>
      </w:r>
      <w:r w:rsidRPr="00656CFD">
        <w:rPr>
          <w:rFonts w:asciiTheme="majorHAnsi" w:hAnsiTheme="majorHAnsi" w:cs="Times"/>
          <w:sz w:val="22"/>
          <w:szCs w:val="22"/>
          <w:u w:val="single"/>
        </w:rPr>
        <w:t>the legitimate objective of safeguarding and indeed strengthening national unity under difficult political circumstances cannot be achieved by attempting to muzzle advocacy of multi-party democracy, democratic tenets and human rights;</w:t>
      </w:r>
      <w:r w:rsidRPr="00656CFD">
        <w:rPr>
          <w:rFonts w:asciiTheme="majorHAnsi" w:hAnsiTheme="majorHAnsi" w:cs="Times"/>
          <w:sz w:val="22"/>
          <w:szCs w:val="22"/>
        </w:rPr>
        <w:t xml:space="preserve"> in this regard, the question of deciding which measures might meet the "necessity" test in such situations does not arise. In the circumstances of the author's case, the Committee concludes that there has been a violation of article 19 of the Covenant.</w:t>
      </w:r>
    </w:p>
    <w:p w14:paraId="41D1C21A" w14:textId="77777777" w:rsidR="0047018F" w:rsidRPr="0047018F" w:rsidRDefault="0047018F" w:rsidP="0047018F">
      <w:pPr>
        <w:pStyle w:val="FootnoteText"/>
        <w:jc w:val="both"/>
        <w:rPr>
          <w:rFonts w:asciiTheme="majorHAnsi" w:hAnsiTheme="majorHAnsi"/>
          <w:sz w:val="24"/>
        </w:rPr>
      </w:pPr>
    </w:p>
    <w:p w14:paraId="533B9AA9" w14:textId="17B9F8A9" w:rsidR="0046642E" w:rsidRPr="0046642E" w:rsidRDefault="0046642E" w:rsidP="0047018F">
      <w:pPr>
        <w:rPr>
          <w:rFonts w:asciiTheme="majorHAnsi" w:hAnsiTheme="majorHAnsi"/>
          <w:b/>
          <w:sz w:val="28"/>
          <w:szCs w:val="28"/>
        </w:rPr>
      </w:pPr>
      <w:r w:rsidRPr="0046642E">
        <w:rPr>
          <w:rFonts w:asciiTheme="majorHAnsi" w:hAnsiTheme="majorHAnsi"/>
          <w:b/>
          <w:sz w:val="28"/>
          <w:szCs w:val="28"/>
        </w:rPr>
        <w:t>Other Cases</w:t>
      </w:r>
    </w:p>
    <w:p w14:paraId="30A93736" w14:textId="77777777" w:rsidR="0046642E" w:rsidRDefault="0046642E" w:rsidP="0047018F">
      <w:pPr>
        <w:rPr>
          <w:rFonts w:asciiTheme="majorHAnsi" w:hAnsiTheme="majorHAnsi"/>
          <w:b/>
        </w:rPr>
      </w:pPr>
    </w:p>
    <w:p w14:paraId="36BFBCAE" w14:textId="384094C9" w:rsidR="0047018F" w:rsidRPr="0047018F" w:rsidRDefault="0047018F" w:rsidP="0047018F">
      <w:pPr>
        <w:rPr>
          <w:rFonts w:asciiTheme="majorHAnsi" w:hAnsiTheme="majorHAnsi"/>
          <w:b/>
        </w:rPr>
      </w:pPr>
      <w:r>
        <w:rPr>
          <w:rFonts w:asciiTheme="majorHAnsi" w:hAnsiTheme="majorHAnsi"/>
          <w:b/>
        </w:rPr>
        <w:t xml:space="preserve">High Court of Bombay, India, </w:t>
      </w:r>
      <w:proofErr w:type="spellStart"/>
      <w:r w:rsidRPr="0047018F">
        <w:rPr>
          <w:rFonts w:asciiTheme="majorHAnsi" w:hAnsiTheme="majorHAnsi"/>
          <w:b/>
        </w:rPr>
        <w:t>Marathe</w:t>
      </w:r>
      <w:proofErr w:type="spellEnd"/>
      <w:r w:rsidRPr="0047018F">
        <w:rPr>
          <w:rFonts w:asciiTheme="majorHAnsi" w:hAnsiTheme="majorHAnsi"/>
          <w:b/>
        </w:rPr>
        <w:t xml:space="preserve"> v. The State of </w:t>
      </w:r>
      <w:proofErr w:type="spellStart"/>
      <w:r w:rsidRPr="0047018F">
        <w:rPr>
          <w:rFonts w:asciiTheme="majorHAnsi" w:hAnsiTheme="majorHAnsi"/>
          <w:b/>
        </w:rPr>
        <w:t>Maharshtra</w:t>
      </w:r>
      <w:proofErr w:type="spellEnd"/>
      <w:r w:rsidRPr="0047018F">
        <w:rPr>
          <w:rStyle w:val="FootnoteReference"/>
          <w:rFonts w:asciiTheme="majorHAnsi" w:hAnsiTheme="majorHAnsi"/>
          <w:b/>
        </w:rPr>
        <w:footnoteReference w:id="43"/>
      </w:r>
    </w:p>
    <w:p w14:paraId="74B637C6" w14:textId="1FD1709A" w:rsidR="0047018F" w:rsidRPr="0047018F" w:rsidRDefault="0047018F" w:rsidP="0047018F">
      <w:pPr>
        <w:jc w:val="both"/>
        <w:rPr>
          <w:rFonts w:asciiTheme="majorHAnsi" w:hAnsiTheme="majorHAnsi"/>
          <w:sz w:val="22"/>
          <w:szCs w:val="22"/>
        </w:rPr>
      </w:pPr>
      <w:r w:rsidRPr="0047018F">
        <w:rPr>
          <w:rFonts w:asciiTheme="majorHAnsi" w:hAnsiTheme="majorHAnsi"/>
          <w:sz w:val="22"/>
          <w:szCs w:val="22"/>
        </w:rPr>
        <w:t>A political cartoonist published several cartoons online that allegedly defamed India’s Parliament, the Constitution and spread hatred against the government. He was charged with the offense of sedition under Section 124A of the Indian Penal Code. The law provides: “Whoever, by words, either spoken or written, or by signs, or by visible representation, or otherwise, brings or attempts to bring into hatred or contempt, or excites or attempts to excite disaffection towards the Government established by law in India, shall be punished with imprisonment for life, to which fine may be added, or with imprisonment which may extend to three years, to which fine may be added, or with fine.”</w:t>
      </w:r>
    </w:p>
    <w:p w14:paraId="0D869B99" w14:textId="77777777" w:rsidR="0047018F" w:rsidRPr="0047018F" w:rsidRDefault="0047018F" w:rsidP="0047018F">
      <w:pPr>
        <w:jc w:val="both"/>
        <w:rPr>
          <w:rFonts w:asciiTheme="majorHAnsi" w:hAnsiTheme="majorHAnsi"/>
          <w:sz w:val="22"/>
          <w:szCs w:val="22"/>
        </w:rPr>
      </w:pPr>
    </w:p>
    <w:p w14:paraId="000BE905" w14:textId="77777777" w:rsidR="0047018F" w:rsidRPr="0047018F" w:rsidRDefault="0047018F" w:rsidP="0047018F">
      <w:pPr>
        <w:jc w:val="both"/>
        <w:rPr>
          <w:rFonts w:asciiTheme="majorHAnsi" w:hAnsiTheme="majorHAnsi"/>
          <w:sz w:val="22"/>
          <w:szCs w:val="22"/>
        </w:rPr>
      </w:pPr>
      <w:r w:rsidRPr="0047018F">
        <w:rPr>
          <w:rFonts w:asciiTheme="majorHAnsi" w:hAnsiTheme="majorHAnsi"/>
          <w:sz w:val="22"/>
          <w:szCs w:val="22"/>
        </w:rPr>
        <w:t>The charges were dropped but the possibility of invoking Section 124A to restrict free speech remained open. A public interest petition sought the High Court of Bombay to examine the legality of Section 124A as applied to free speech and to prevent its arbitrary invocation.</w:t>
      </w:r>
    </w:p>
    <w:p w14:paraId="63F70D47" w14:textId="77777777" w:rsidR="0047018F" w:rsidRPr="0047018F" w:rsidRDefault="0047018F" w:rsidP="0047018F">
      <w:pPr>
        <w:jc w:val="both"/>
        <w:rPr>
          <w:rFonts w:asciiTheme="majorHAnsi" w:hAnsiTheme="majorHAnsi"/>
          <w:sz w:val="22"/>
          <w:szCs w:val="22"/>
        </w:rPr>
      </w:pPr>
    </w:p>
    <w:p w14:paraId="17C539EF" w14:textId="77777777" w:rsidR="0047018F" w:rsidRPr="0047018F" w:rsidRDefault="0047018F" w:rsidP="0047018F">
      <w:pPr>
        <w:jc w:val="both"/>
        <w:rPr>
          <w:rFonts w:asciiTheme="majorHAnsi" w:hAnsiTheme="majorHAnsi"/>
          <w:sz w:val="22"/>
          <w:szCs w:val="22"/>
        </w:rPr>
      </w:pPr>
      <w:r w:rsidRPr="0047018F">
        <w:rPr>
          <w:rFonts w:asciiTheme="majorHAnsi" w:hAnsiTheme="majorHAnsi"/>
          <w:sz w:val="22"/>
          <w:szCs w:val="22"/>
        </w:rPr>
        <w:t>In its ruling, the High Court highlighted that only expression that excite hatred or contempt against the government, having the tendency of creating public disorder through actual violence or incitement to violence are punishable under Section 124A. Relying on precedent, the Court explained that the law’s scope includes “any written or spoken words, etc., which have implicit in them the idea of subverting [</w:t>
      </w:r>
      <w:proofErr w:type="gramStart"/>
      <w:r w:rsidRPr="0047018F">
        <w:rPr>
          <w:rFonts w:asciiTheme="majorHAnsi" w:hAnsiTheme="majorHAnsi"/>
          <w:sz w:val="22"/>
          <w:szCs w:val="22"/>
        </w:rPr>
        <w:t>g]</w:t>
      </w:r>
      <w:proofErr w:type="spellStart"/>
      <w:r w:rsidRPr="0047018F">
        <w:rPr>
          <w:rFonts w:asciiTheme="majorHAnsi" w:hAnsiTheme="majorHAnsi"/>
          <w:sz w:val="22"/>
          <w:szCs w:val="22"/>
        </w:rPr>
        <w:t>overnment</w:t>
      </w:r>
      <w:proofErr w:type="spellEnd"/>
      <w:proofErr w:type="gramEnd"/>
      <w:r w:rsidRPr="0047018F">
        <w:rPr>
          <w:rFonts w:asciiTheme="majorHAnsi" w:hAnsiTheme="majorHAnsi"/>
          <w:sz w:val="22"/>
          <w:szCs w:val="22"/>
        </w:rPr>
        <w:t xml:space="preserve"> by violent means, which are compendiously included in the term ‘revolution’, . . .”</w:t>
      </w:r>
    </w:p>
    <w:p w14:paraId="044C3E79" w14:textId="77777777" w:rsidR="0047018F" w:rsidRPr="0047018F" w:rsidRDefault="0047018F" w:rsidP="0047018F">
      <w:pPr>
        <w:jc w:val="both"/>
        <w:rPr>
          <w:rFonts w:asciiTheme="majorHAnsi" w:hAnsiTheme="majorHAnsi"/>
          <w:sz w:val="22"/>
          <w:szCs w:val="22"/>
        </w:rPr>
      </w:pPr>
    </w:p>
    <w:p w14:paraId="7C0567B8" w14:textId="1428BCEE" w:rsidR="0047018F" w:rsidRPr="0047018F" w:rsidRDefault="0047018F" w:rsidP="0047018F">
      <w:pPr>
        <w:jc w:val="both"/>
        <w:rPr>
          <w:rFonts w:asciiTheme="majorHAnsi" w:hAnsiTheme="majorHAnsi"/>
          <w:sz w:val="22"/>
          <w:szCs w:val="22"/>
        </w:rPr>
      </w:pPr>
      <w:r w:rsidRPr="0047018F">
        <w:rPr>
          <w:rFonts w:asciiTheme="majorHAnsi" w:hAnsiTheme="majorHAnsi"/>
          <w:sz w:val="22"/>
          <w:szCs w:val="22"/>
        </w:rPr>
        <w:t>The court explained that the cartoon in question was devoid of</w:t>
      </w:r>
      <w:r w:rsidR="0046642E">
        <w:rPr>
          <w:rFonts w:asciiTheme="majorHAnsi" w:hAnsiTheme="majorHAnsi"/>
          <w:sz w:val="22"/>
          <w:szCs w:val="22"/>
        </w:rPr>
        <w:t xml:space="preserve"> any wit, sarcasm, or humor, and</w:t>
      </w:r>
      <w:r w:rsidRPr="0047018F">
        <w:rPr>
          <w:rFonts w:asciiTheme="majorHAnsi" w:hAnsiTheme="majorHAnsi"/>
          <w:sz w:val="22"/>
          <w:szCs w:val="22"/>
        </w:rPr>
        <w:t xml:space="preserve"> that by itself was not reason enough to encroach on the cartoonist’s right “to express his indignation against corruption in the political system in strong terms or visual representations … when there is no allegation of incitement to violence or the tendency or the intention to create public disorder.”</w:t>
      </w:r>
    </w:p>
    <w:p w14:paraId="22CA3010" w14:textId="77777777" w:rsidR="0047018F" w:rsidRPr="0047018F" w:rsidRDefault="0047018F" w:rsidP="0047018F">
      <w:pPr>
        <w:jc w:val="both"/>
        <w:rPr>
          <w:rFonts w:asciiTheme="majorHAnsi" w:hAnsiTheme="majorHAnsi" w:cs="Times New Roman"/>
          <w:b/>
          <w:sz w:val="22"/>
          <w:szCs w:val="22"/>
        </w:rPr>
      </w:pPr>
    </w:p>
    <w:p w14:paraId="064B3241" w14:textId="4DB00D2D" w:rsidR="00422DDE" w:rsidRPr="00422DDE" w:rsidRDefault="00422DDE" w:rsidP="00422DDE">
      <w:pPr>
        <w:jc w:val="both"/>
        <w:rPr>
          <w:rFonts w:asciiTheme="majorHAnsi" w:hAnsiTheme="majorHAnsi" w:cs="Times New Roman"/>
          <w:b/>
        </w:rPr>
      </w:pPr>
      <w:r w:rsidRPr="00422DDE">
        <w:rPr>
          <w:rFonts w:asciiTheme="majorHAnsi" w:hAnsiTheme="majorHAnsi" w:cs="Times New Roman"/>
          <w:b/>
        </w:rPr>
        <w:t xml:space="preserve">Norway, </w:t>
      </w:r>
      <w:r w:rsidR="0047018F">
        <w:rPr>
          <w:rFonts w:asciiTheme="majorHAnsi" w:hAnsiTheme="majorHAnsi" w:cs="Times New Roman"/>
          <w:b/>
        </w:rPr>
        <w:t>Appeal Court, 2015</w:t>
      </w:r>
      <w:r w:rsidR="00167263">
        <w:rPr>
          <w:rStyle w:val="FootnoteReference"/>
          <w:rFonts w:asciiTheme="majorHAnsi" w:hAnsiTheme="majorHAnsi" w:cs="Times New Roman"/>
          <w:b/>
        </w:rPr>
        <w:footnoteReference w:id="44"/>
      </w:r>
    </w:p>
    <w:p w14:paraId="0DD3A5E2" w14:textId="79E4A284" w:rsidR="00422DDE" w:rsidRPr="00686233" w:rsidRDefault="0046642E" w:rsidP="00422DDE">
      <w:pPr>
        <w:widowControl w:val="0"/>
        <w:autoSpaceDE w:val="0"/>
        <w:autoSpaceDN w:val="0"/>
        <w:adjustRightInd w:val="0"/>
        <w:jc w:val="both"/>
        <w:rPr>
          <w:rFonts w:asciiTheme="majorHAnsi" w:hAnsiTheme="majorHAnsi" w:cs="Helvetica"/>
          <w:sz w:val="22"/>
          <w:szCs w:val="22"/>
        </w:rPr>
      </w:pPr>
      <w:r>
        <w:rPr>
          <w:rFonts w:asciiTheme="majorHAnsi" w:hAnsiTheme="majorHAnsi" w:cs="Helvetica"/>
          <w:sz w:val="22"/>
          <w:szCs w:val="22"/>
        </w:rPr>
        <w:t xml:space="preserve">A </w:t>
      </w:r>
      <w:r w:rsidR="0047018F" w:rsidRPr="00686233">
        <w:rPr>
          <w:rFonts w:asciiTheme="majorHAnsi" w:hAnsiTheme="majorHAnsi" w:cs="Helvetica"/>
          <w:sz w:val="22"/>
          <w:szCs w:val="22"/>
        </w:rPr>
        <w:t xml:space="preserve">Norwegian man was charged with public incitement to murder with terrorist intent for, amongst other things, </w:t>
      </w:r>
      <w:r w:rsidR="00422DDE" w:rsidRPr="00686233">
        <w:rPr>
          <w:rFonts w:asciiTheme="majorHAnsi" w:hAnsiTheme="majorHAnsi" w:cs="Helvetica"/>
          <w:sz w:val="22"/>
          <w:szCs w:val="22"/>
        </w:rPr>
        <w:t>the following comments on a news story about hostages killed by Islamists in Algeria: “</w:t>
      </w:r>
      <w:r w:rsidR="00422DDE" w:rsidRPr="00686233">
        <w:rPr>
          <w:rFonts w:asciiTheme="majorHAnsi" w:hAnsiTheme="majorHAnsi" w:cs="Helvetica"/>
          <w:i/>
          <w:iCs/>
          <w:sz w:val="22"/>
          <w:szCs w:val="22"/>
        </w:rPr>
        <w:t>May Allah reward our brothers with the biggest and best [of] paradise and expel the enemies of Islam from our country and destroy them</w:t>
      </w:r>
      <w:r w:rsidR="00422DDE" w:rsidRPr="00686233">
        <w:rPr>
          <w:rFonts w:asciiTheme="majorHAnsi" w:hAnsiTheme="majorHAnsi" w:cs="Helvetica"/>
          <w:sz w:val="22"/>
          <w:szCs w:val="22"/>
        </w:rPr>
        <w:t>”.</w:t>
      </w:r>
    </w:p>
    <w:p w14:paraId="0B8F8068" w14:textId="77777777" w:rsidR="00422DDE" w:rsidRPr="00686233" w:rsidRDefault="00422DDE" w:rsidP="00422DDE">
      <w:pPr>
        <w:jc w:val="both"/>
        <w:rPr>
          <w:rFonts w:asciiTheme="majorHAnsi" w:hAnsiTheme="majorHAnsi" w:cs="Times New Roman"/>
          <w:sz w:val="22"/>
          <w:szCs w:val="22"/>
        </w:rPr>
      </w:pPr>
    </w:p>
    <w:p w14:paraId="1B3DDD31" w14:textId="77777777" w:rsidR="00422DDE" w:rsidRPr="00686233" w:rsidRDefault="00422DDE" w:rsidP="00422DDE">
      <w:pPr>
        <w:jc w:val="both"/>
        <w:rPr>
          <w:rFonts w:asciiTheme="majorHAnsi" w:hAnsiTheme="majorHAnsi" w:cs="Times New Roman"/>
          <w:sz w:val="22"/>
          <w:szCs w:val="22"/>
        </w:rPr>
      </w:pPr>
      <w:r w:rsidRPr="00686233">
        <w:rPr>
          <w:rFonts w:asciiTheme="majorHAnsi" w:hAnsiTheme="majorHAnsi" w:cs="Times New Roman"/>
          <w:sz w:val="22"/>
          <w:szCs w:val="22"/>
        </w:rPr>
        <w:t xml:space="preserve">The Appeal Court dismissed charges of public incitement to murder with terrorist intent and of glorification of terrorism. The Appeal Court found that </w:t>
      </w:r>
      <w:r w:rsidRPr="0046642E">
        <w:rPr>
          <w:rFonts w:asciiTheme="majorHAnsi" w:hAnsiTheme="majorHAnsi" w:cs="Times New Roman"/>
          <w:sz w:val="22"/>
          <w:szCs w:val="22"/>
          <w:u w:val="single"/>
        </w:rPr>
        <w:t>the legal uncertainty created by the vagueness of the law had to benefit the defendant and interpreted “incitement” as requiring a “degree of concretization” and “strength” to be met</w:t>
      </w:r>
      <w:r w:rsidRPr="00686233">
        <w:rPr>
          <w:rFonts w:asciiTheme="majorHAnsi" w:hAnsiTheme="majorHAnsi" w:cs="Times New Roman"/>
          <w:sz w:val="22"/>
          <w:szCs w:val="22"/>
        </w:rPr>
        <w:t>, very much in keeping with the UN recommendation related to article 20 of the ICCPR.</w:t>
      </w:r>
      <w:r w:rsidRPr="00686233">
        <w:rPr>
          <w:rStyle w:val="FootnoteReference"/>
          <w:rFonts w:asciiTheme="majorHAnsi" w:hAnsiTheme="majorHAnsi" w:cs="Times New Roman"/>
          <w:sz w:val="22"/>
          <w:szCs w:val="22"/>
        </w:rPr>
        <w:footnoteReference w:id="45"/>
      </w:r>
      <w:r w:rsidRPr="00686233">
        <w:rPr>
          <w:rFonts w:asciiTheme="majorHAnsi" w:hAnsiTheme="majorHAnsi" w:cs="Times New Roman"/>
          <w:sz w:val="22"/>
          <w:szCs w:val="22"/>
        </w:rPr>
        <w:t xml:space="preserve"> </w:t>
      </w:r>
    </w:p>
    <w:p w14:paraId="2F5B5840" w14:textId="77777777" w:rsidR="00422DDE" w:rsidRPr="00686233" w:rsidRDefault="00422DDE" w:rsidP="00422DDE">
      <w:pPr>
        <w:jc w:val="both"/>
        <w:rPr>
          <w:rFonts w:asciiTheme="majorHAnsi" w:hAnsiTheme="majorHAnsi" w:cs="Times New Roman"/>
          <w:sz w:val="22"/>
          <w:szCs w:val="22"/>
        </w:rPr>
      </w:pPr>
    </w:p>
    <w:p w14:paraId="5E55529C" w14:textId="77777777" w:rsidR="00422DDE" w:rsidRPr="00686233" w:rsidRDefault="00422DDE" w:rsidP="00422DDE">
      <w:pPr>
        <w:jc w:val="both"/>
        <w:rPr>
          <w:rFonts w:asciiTheme="majorHAnsi" w:hAnsiTheme="majorHAnsi" w:cs="Times New Roman"/>
          <w:sz w:val="22"/>
          <w:szCs w:val="22"/>
        </w:rPr>
      </w:pPr>
      <w:r w:rsidRPr="00686233">
        <w:rPr>
          <w:rFonts w:asciiTheme="majorHAnsi" w:hAnsiTheme="majorHAnsi" w:cs="Times New Roman"/>
          <w:sz w:val="22"/>
          <w:szCs w:val="22"/>
        </w:rPr>
        <w:t>‘The Court also confirmed previous Supreme Court case law determining that no one should risk criminal liability for expressions based on inferred interpretation rather than explicit statements. Accordingly, the Court found that the statements in question constituted “mere” glorification of already committed terrorist acts, rather than “incitement” to commit new ones and thus acquitted the defendant (who was also acquitted for racist hate speech but convicted for threats in relation to a number of other statements)’.</w:t>
      </w:r>
      <w:r w:rsidRPr="00686233">
        <w:rPr>
          <w:rStyle w:val="FootnoteReference"/>
          <w:rFonts w:asciiTheme="majorHAnsi" w:hAnsiTheme="majorHAnsi" w:cs="Times New Roman"/>
          <w:sz w:val="22"/>
          <w:szCs w:val="22"/>
        </w:rPr>
        <w:footnoteReference w:id="46"/>
      </w:r>
      <w:r w:rsidRPr="00686233">
        <w:rPr>
          <w:rFonts w:asciiTheme="majorHAnsi" w:hAnsiTheme="majorHAnsi" w:cs="Times New Roman"/>
          <w:sz w:val="22"/>
          <w:szCs w:val="22"/>
        </w:rPr>
        <w:t> </w:t>
      </w:r>
    </w:p>
    <w:p w14:paraId="0A4F0FD4" w14:textId="77777777" w:rsidR="00422DDE" w:rsidRDefault="00422DDE" w:rsidP="00422DDE">
      <w:pPr>
        <w:pStyle w:val="FootnoteText"/>
        <w:jc w:val="both"/>
        <w:rPr>
          <w:rFonts w:asciiTheme="majorHAnsi" w:hAnsiTheme="majorHAnsi"/>
          <w:szCs w:val="22"/>
        </w:rPr>
      </w:pPr>
    </w:p>
    <w:p w14:paraId="4E29B3D1" w14:textId="4D1D10FC" w:rsidR="00686233" w:rsidRPr="000970DB" w:rsidRDefault="00272F1D" w:rsidP="00686233">
      <w:pPr>
        <w:rPr>
          <w:rFonts w:asciiTheme="majorHAnsi" w:hAnsiTheme="majorHAnsi"/>
          <w:b/>
        </w:rPr>
      </w:pPr>
      <w:r w:rsidRPr="000970DB">
        <w:rPr>
          <w:rFonts w:asciiTheme="majorHAnsi" w:hAnsiTheme="majorHAnsi"/>
          <w:b/>
        </w:rPr>
        <w:t xml:space="preserve">The risk associated with superficial review:  </w:t>
      </w:r>
      <w:r w:rsidR="00686233" w:rsidRPr="000970DB">
        <w:rPr>
          <w:rFonts w:asciiTheme="majorHAnsi" w:hAnsiTheme="majorHAnsi"/>
          <w:b/>
        </w:rPr>
        <w:t>The Prosecutor General of Moscow v. the Russian Consumer Rights Protection Society, 2015</w:t>
      </w:r>
      <w:r w:rsidR="00686233" w:rsidRPr="000970DB">
        <w:rPr>
          <w:rStyle w:val="FootnoteReference"/>
          <w:rFonts w:asciiTheme="majorHAnsi" w:hAnsiTheme="majorHAnsi"/>
          <w:b/>
        </w:rPr>
        <w:footnoteReference w:id="47"/>
      </w:r>
    </w:p>
    <w:p w14:paraId="4D20CB03" w14:textId="77777777" w:rsidR="000970DB" w:rsidRDefault="000970DB" w:rsidP="00686233">
      <w:pPr>
        <w:jc w:val="both"/>
        <w:rPr>
          <w:rFonts w:asciiTheme="majorHAnsi" w:hAnsiTheme="majorHAnsi"/>
          <w:sz w:val="22"/>
          <w:szCs w:val="22"/>
        </w:rPr>
      </w:pPr>
    </w:p>
    <w:p w14:paraId="3E9EADD0" w14:textId="77777777" w:rsidR="00686233" w:rsidRPr="00686233" w:rsidRDefault="00686233" w:rsidP="00686233">
      <w:pPr>
        <w:jc w:val="both"/>
        <w:rPr>
          <w:rFonts w:asciiTheme="majorHAnsi" w:hAnsiTheme="majorHAnsi"/>
          <w:sz w:val="22"/>
          <w:szCs w:val="22"/>
        </w:rPr>
      </w:pPr>
      <w:r w:rsidRPr="00686233">
        <w:rPr>
          <w:rFonts w:asciiTheme="majorHAnsi" w:hAnsiTheme="majorHAnsi"/>
          <w:sz w:val="22"/>
          <w:szCs w:val="22"/>
        </w:rPr>
        <w:t xml:space="preserve">The Russian Consumer Right Protection Society published a travel note on Crimea following complaints by some Russian travelers that they had difficulties obtaining Schengen visas after entering Crimea from the Russian border. </w:t>
      </w:r>
    </w:p>
    <w:p w14:paraId="687EE3B8" w14:textId="77777777" w:rsidR="00686233" w:rsidRPr="00686233" w:rsidRDefault="00686233" w:rsidP="00686233">
      <w:pPr>
        <w:jc w:val="both"/>
        <w:rPr>
          <w:rFonts w:asciiTheme="majorHAnsi" w:hAnsiTheme="majorHAnsi"/>
          <w:sz w:val="22"/>
          <w:szCs w:val="22"/>
        </w:rPr>
      </w:pPr>
    </w:p>
    <w:p w14:paraId="66F2FDE8" w14:textId="77777777" w:rsidR="00686233" w:rsidRPr="00686233" w:rsidRDefault="00686233" w:rsidP="00686233">
      <w:pPr>
        <w:jc w:val="both"/>
        <w:rPr>
          <w:rFonts w:asciiTheme="majorHAnsi" w:hAnsiTheme="majorHAnsi"/>
          <w:sz w:val="22"/>
          <w:szCs w:val="22"/>
        </w:rPr>
      </w:pPr>
      <w:r w:rsidRPr="00686233">
        <w:rPr>
          <w:rFonts w:asciiTheme="majorHAnsi" w:hAnsiTheme="majorHAnsi"/>
          <w:sz w:val="22"/>
          <w:szCs w:val="22"/>
        </w:rPr>
        <w:t xml:space="preserve">The note advised travelers that it is best to enter Crimea from the Ukrainian border and to follow Ukrainian laws when traveling in the region. In the note, Crimea was referenced as a territory considered to be occupied by Russia. </w:t>
      </w:r>
    </w:p>
    <w:p w14:paraId="130394FC" w14:textId="77777777" w:rsidR="00686233" w:rsidRPr="00686233" w:rsidRDefault="00686233" w:rsidP="00686233">
      <w:pPr>
        <w:jc w:val="both"/>
        <w:rPr>
          <w:rFonts w:asciiTheme="majorHAnsi" w:hAnsiTheme="majorHAnsi"/>
          <w:sz w:val="22"/>
          <w:szCs w:val="22"/>
        </w:rPr>
      </w:pPr>
    </w:p>
    <w:p w14:paraId="0B774A03" w14:textId="77777777" w:rsidR="00686233" w:rsidRPr="00686233" w:rsidRDefault="00686233" w:rsidP="00686233">
      <w:pPr>
        <w:jc w:val="both"/>
        <w:rPr>
          <w:rFonts w:asciiTheme="majorHAnsi" w:hAnsiTheme="majorHAnsi"/>
          <w:sz w:val="22"/>
          <w:szCs w:val="22"/>
        </w:rPr>
      </w:pPr>
      <w:r w:rsidRPr="00686233">
        <w:rPr>
          <w:rFonts w:asciiTheme="majorHAnsi" w:hAnsiTheme="majorHAnsi"/>
          <w:sz w:val="22"/>
          <w:szCs w:val="22"/>
        </w:rPr>
        <w:t xml:space="preserve">The Moscow Prosecutor General requested the page to be banned and the website to be fined for violating the Russian Criminal Code, Article 280.1, "Public incitement of acts to undermine the territorial sovereignty of Russia.” </w:t>
      </w:r>
    </w:p>
    <w:p w14:paraId="7A5F0CFC" w14:textId="77777777" w:rsidR="00686233" w:rsidRPr="00686233" w:rsidRDefault="00686233" w:rsidP="00686233">
      <w:pPr>
        <w:jc w:val="both"/>
        <w:rPr>
          <w:rFonts w:asciiTheme="majorHAnsi" w:hAnsiTheme="majorHAnsi"/>
          <w:sz w:val="22"/>
          <w:szCs w:val="22"/>
        </w:rPr>
      </w:pPr>
    </w:p>
    <w:p w14:paraId="372EBB59" w14:textId="77777777" w:rsidR="00686233" w:rsidRPr="00686233" w:rsidRDefault="00686233" w:rsidP="00686233">
      <w:pPr>
        <w:jc w:val="both"/>
        <w:rPr>
          <w:rFonts w:asciiTheme="majorHAnsi" w:hAnsiTheme="majorHAnsi"/>
          <w:sz w:val="22"/>
          <w:szCs w:val="22"/>
        </w:rPr>
      </w:pPr>
      <w:r w:rsidRPr="00686233">
        <w:rPr>
          <w:rFonts w:asciiTheme="majorHAnsi" w:hAnsiTheme="majorHAnsi"/>
          <w:sz w:val="22"/>
          <w:szCs w:val="22"/>
        </w:rPr>
        <w:t>The Prosecutor General argued that by using the terms "occupied territory" and "occupation of the peninsula" implied that Crimea is a Ukrainian territory temporarily occupied by Russia and that Russian citizens should abide by Ukrainian law when visiting it. Thus, this reference undermined the territorial integrity and sovereignty of Russia and called for extremist activities. A memorandum from Russia’s information supervisory body alleged that the travel note attempted to incite mass riots, extremist activities, and participation in unlawful public activities.</w:t>
      </w:r>
    </w:p>
    <w:p w14:paraId="16D60A45" w14:textId="77777777" w:rsidR="00686233" w:rsidRPr="00686233" w:rsidRDefault="00686233" w:rsidP="00686233">
      <w:pPr>
        <w:jc w:val="both"/>
        <w:rPr>
          <w:rFonts w:asciiTheme="majorHAnsi" w:hAnsiTheme="majorHAnsi"/>
          <w:sz w:val="22"/>
          <w:szCs w:val="22"/>
        </w:rPr>
      </w:pPr>
    </w:p>
    <w:p w14:paraId="2C54B0BD" w14:textId="77777777" w:rsidR="00686233" w:rsidRPr="00686233" w:rsidRDefault="00686233" w:rsidP="00686233">
      <w:pPr>
        <w:jc w:val="both"/>
        <w:rPr>
          <w:rFonts w:asciiTheme="majorHAnsi" w:hAnsiTheme="majorHAnsi"/>
          <w:sz w:val="22"/>
          <w:szCs w:val="22"/>
        </w:rPr>
      </w:pPr>
      <w:r w:rsidRPr="00686233">
        <w:rPr>
          <w:rFonts w:asciiTheme="majorHAnsi" w:hAnsiTheme="majorHAnsi"/>
          <w:sz w:val="22"/>
          <w:szCs w:val="22"/>
        </w:rPr>
        <w:t>The Russian court found the government’s arguments valid and upheld the page’s ban and a fine to the NGO.</w:t>
      </w:r>
    </w:p>
    <w:p w14:paraId="480D1AED" w14:textId="77777777" w:rsidR="00686233" w:rsidRPr="00686233" w:rsidRDefault="00686233" w:rsidP="00686233">
      <w:pPr>
        <w:jc w:val="both"/>
        <w:rPr>
          <w:rFonts w:asciiTheme="majorHAnsi" w:hAnsiTheme="majorHAnsi"/>
          <w:b/>
          <w:sz w:val="22"/>
          <w:szCs w:val="22"/>
        </w:rPr>
      </w:pPr>
    </w:p>
    <w:p w14:paraId="548528C3" w14:textId="77777777" w:rsidR="0046642E" w:rsidRDefault="0046642E" w:rsidP="00136F69">
      <w:pPr>
        <w:rPr>
          <w:b/>
          <w:sz w:val="36"/>
          <w:szCs w:val="36"/>
        </w:rPr>
      </w:pPr>
    </w:p>
    <w:p w14:paraId="55773689" w14:textId="55F4E77F" w:rsidR="00F93E8F" w:rsidRDefault="00F93E8F" w:rsidP="006D6209">
      <w:pPr>
        <w:jc w:val="center"/>
        <w:rPr>
          <w:b/>
          <w:sz w:val="36"/>
          <w:szCs w:val="36"/>
        </w:rPr>
      </w:pPr>
      <w:r w:rsidRPr="006D6209">
        <w:rPr>
          <w:rFonts w:asciiTheme="majorHAnsi" w:hAnsiTheme="majorHAnsi"/>
          <w:b/>
          <w:sz w:val="28"/>
          <w:szCs w:val="28"/>
        </w:rPr>
        <w:t>ANNEX</w:t>
      </w:r>
      <w:r w:rsidR="00136F69" w:rsidRPr="006D6209">
        <w:rPr>
          <w:rFonts w:asciiTheme="majorHAnsi" w:hAnsiTheme="majorHAnsi"/>
          <w:b/>
          <w:sz w:val="28"/>
          <w:szCs w:val="28"/>
        </w:rPr>
        <w:t xml:space="preserve"> ONE: THE THREE-PART TEST</w:t>
      </w:r>
      <w:r w:rsidR="006D6209" w:rsidRPr="006D6209">
        <w:rPr>
          <w:rStyle w:val="FootnoteReference"/>
          <w:rFonts w:asciiTheme="majorHAnsi" w:hAnsiTheme="majorHAnsi"/>
          <w:b/>
        </w:rPr>
        <w:footnoteReference w:id="48"/>
      </w:r>
    </w:p>
    <w:p w14:paraId="248997CD" w14:textId="77777777" w:rsidR="00136F69" w:rsidRDefault="00136F69" w:rsidP="00136F69">
      <w:pPr>
        <w:jc w:val="both"/>
        <w:rPr>
          <w:rFonts w:asciiTheme="majorHAnsi" w:hAnsiTheme="majorHAnsi"/>
          <w:color w:val="000000"/>
          <w:sz w:val="22"/>
          <w:szCs w:val="22"/>
          <w:lang w:val="en-GB"/>
        </w:rPr>
      </w:pPr>
    </w:p>
    <w:p w14:paraId="69FDFE88" w14:textId="4D915BC7" w:rsidR="00136F69" w:rsidRDefault="00136F69" w:rsidP="00136F69">
      <w:pPr>
        <w:jc w:val="both"/>
        <w:rPr>
          <w:rFonts w:asciiTheme="majorHAnsi" w:hAnsiTheme="majorHAnsi"/>
          <w:color w:val="000000"/>
          <w:sz w:val="22"/>
          <w:szCs w:val="22"/>
          <w:lang w:val="en-GB"/>
        </w:rPr>
      </w:pPr>
      <w:r>
        <w:rPr>
          <w:rFonts w:asciiTheme="majorHAnsi" w:hAnsiTheme="majorHAnsi"/>
          <w:color w:val="000000"/>
          <w:sz w:val="22"/>
          <w:szCs w:val="22"/>
          <w:lang w:val="en-GB"/>
        </w:rPr>
        <w:t xml:space="preserve">In General Comment 34, the Human Rights Committee (HRC) reviewed the HRC jurisprudence and communication to date and elaborated on all elements of the three-part test. </w:t>
      </w:r>
    </w:p>
    <w:p w14:paraId="7FD49E59" w14:textId="77777777" w:rsidR="00136F69" w:rsidRPr="00136F69" w:rsidRDefault="00136F69" w:rsidP="00136F69">
      <w:pPr>
        <w:rPr>
          <w:b/>
          <w:sz w:val="36"/>
          <w:szCs w:val="36"/>
        </w:rPr>
      </w:pPr>
    </w:p>
    <w:p w14:paraId="259CC3BE" w14:textId="77777777" w:rsidR="00136F69" w:rsidRDefault="00136F69" w:rsidP="00136F69">
      <w:pPr>
        <w:jc w:val="both"/>
        <w:rPr>
          <w:rFonts w:asciiTheme="majorHAnsi" w:hAnsiTheme="majorHAnsi"/>
          <w:color w:val="000000"/>
          <w:sz w:val="22"/>
          <w:szCs w:val="22"/>
          <w:lang w:val="en-GB"/>
        </w:rPr>
      </w:pPr>
      <w:r w:rsidRPr="0051146D">
        <w:rPr>
          <w:rFonts w:asciiTheme="majorHAnsi" w:hAnsiTheme="majorHAnsi"/>
          <w:b/>
          <w:color w:val="000000"/>
          <w:sz w:val="22"/>
          <w:szCs w:val="22"/>
          <w:lang w:val="en-GB"/>
        </w:rPr>
        <w:t xml:space="preserve">First, </w:t>
      </w:r>
      <w:proofErr w:type="gramStart"/>
      <w:r w:rsidRPr="0051146D">
        <w:rPr>
          <w:rFonts w:asciiTheme="majorHAnsi" w:hAnsiTheme="majorHAnsi"/>
          <w:b/>
          <w:color w:val="000000"/>
          <w:sz w:val="22"/>
          <w:szCs w:val="22"/>
          <w:lang w:val="en-GB"/>
        </w:rPr>
        <w:t>the restriction must be provided by law</w:t>
      </w:r>
      <w:proofErr w:type="gramEnd"/>
      <w:r w:rsidRPr="0051146D">
        <w:rPr>
          <w:rFonts w:asciiTheme="majorHAnsi" w:hAnsiTheme="majorHAnsi"/>
          <w:b/>
          <w:color w:val="000000"/>
          <w:sz w:val="22"/>
          <w:szCs w:val="22"/>
          <w:lang w:val="en-GB"/>
        </w:rPr>
        <w:t>.</w:t>
      </w:r>
      <w:r>
        <w:rPr>
          <w:rFonts w:asciiTheme="majorHAnsi" w:hAnsiTheme="majorHAnsi"/>
          <w:color w:val="000000"/>
          <w:sz w:val="22"/>
          <w:szCs w:val="22"/>
          <w:lang w:val="en-GB"/>
        </w:rPr>
        <w:t xml:space="preserve"> This involves the following:</w:t>
      </w:r>
    </w:p>
    <w:p w14:paraId="0A0E1CFA" w14:textId="77777777" w:rsidR="00136F69" w:rsidRPr="00A62CAA" w:rsidRDefault="00136F69" w:rsidP="00136F69">
      <w:pPr>
        <w:pStyle w:val="ListParagraph"/>
        <w:numPr>
          <w:ilvl w:val="0"/>
          <w:numId w:val="5"/>
        </w:numPr>
        <w:jc w:val="both"/>
        <w:rPr>
          <w:rFonts w:asciiTheme="majorHAnsi" w:hAnsiTheme="majorHAnsi" w:cs="Times"/>
          <w:sz w:val="22"/>
          <w:szCs w:val="22"/>
        </w:rPr>
      </w:pPr>
      <w:r w:rsidRPr="00A62CAA">
        <w:rPr>
          <w:rFonts w:asciiTheme="majorHAnsi" w:hAnsiTheme="majorHAnsi"/>
          <w:color w:val="000000"/>
          <w:sz w:val="22"/>
          <w:szCs w:val="22"/>
          <w:lang w:val="en-GB"/>
        </w:rPr>
        <w:t xml:space="preserve">The </w:t>
      </w:r>
      <w:r w:rsidRPr="00A62CAA">
        <w:rPr>
          <w:rFonts w:asciiTheme="majorHAnsi" w:hAnsiTheme="majorHAnsi"/>
          <w:color w:val="000000"/>
          <w:sz w:val="22"/>
          <w:szCs w:val="22"/>
        </w:rPr>
        <w:t xml:space="preserve">restriction must have a basis in written law. This may include </w:t>
      </w:r>
      <w:r w:rsidRPr="00A62CAA">
        <w:rPr>
          <w:rFonts w:asciiTheme="majorHAnsi" w:hAnsiTheme="majorHAnsi" w:cs="Times New Roman"/>
          <w:sz w:val="22"/>
          <w:szCs w:val="22"/>
        </w:rPr>
        <w:t>laws of parliamentary privilege</w:t>
      </w:r>
      <w:r>
        <w:rPr>
          <w:rStyle w:val="FootnoteReference"/>
          <w:rFonts w:asciiTheme="majorHAnsi" w:hAnsiTheme="majorHAnsi" w:cs="Times New Roman"/>
          <w:sz w:val="22"/>
          <w:szCs w:val="22"/>
        </w:rPr>
        <w:footnoteReference w:id="49"/>
      </w:r>
      <w:r w:rsidRPr="00A62CAA">
        <w:rPr>
          <w:rFonts w:asciiTheme="majorHAnsi" w:hAnsiTheme="majorHAnsi" w:cs="Times New Roman"/>
          <w:position w:val="10"/>
          <w:sz w:val="22"/>
          <w:szCs w:val="22"/>
        </w:rPr>
        <w:t xml:space="preserve"> </w:t>
      </w:r>
      <w:r w:rsidRPr="00A62CAA">
        <w:rPr>
          <w:rFonts w:asciiTheme="majorHAnsi" w:hAnsiTheme="majorHAnsi" w:cs="Times New Roman"/>
          <w:sz w:val="22"/>
          <w:szCs w:val="22"/>
        </w:rPr>
        <w:t>and laws of contempt of court</w:t>
      </w:r>
      <w:r>
        <w:rPr>
          <w:rStyle w:val="FootnoteReference"/>
          <w:rFonts w:asciiTheme="majorHAnsi" w:hAnsiTheme="majorHAnsi" w:cs="Times New Roman"/>
          <w:sz w:val="22"/>
          <w:szCs w:val="22"/>
        </w:rPr>
        <w:footnoteReference w:id="50"/>
      </w:r>
      <w:r w:rsidRPr="00A62CAA">
        <w:rPr>
          <w:rFonts w:asciiTheme="majorHAnsi" w:hAnsiTheme="majorHAnsi" w:cs="Times New Roman"/>
          <w:sz w:val="22"/>
          <w:szCs w:val="22"/>
        </w:rPr>
        <w:t>. However, it does not include traditional, religious or other such customary law</w:t>
      </w:r>
      <w:r>
        <w:rPr>
          <w:rStyle w:val="FootnoteReference"/>
          <w:rFonts w:asciiTheme="majorHAnsi" w:hAnsiTheme="majorHAnsi" w:cs="Times New Roman"/>
          <w:sz w:val="22"/>
          <w:szCs w:val="22"/>
        </w:rPr>
        <w:footnoteReference w:id="51"/>
      </w:r>
    </w:p>
    <w:p w14:paraId="5A7A6B33" w14:textId="77777777" w:rsidR="00136F69" w:rsidRDefault="00136F69" w:rsidP="00136F69">
      <w:pPr>
        <w:pStyle w:val="ListParagraph"/>
        <w:numPr>
          <w:ilvl w:val="0"/>
          <w:numId w:val="5"/>
        </w:numPr>
        <w:jc w:val="both"/>
        <w:rPr>
          <w:rFonts w:asciiTheme="majorHAnsi" w:hAnsiTheme="majorHAnsi" w:cs="Times New Roman"/>
          <w:sz w:val="22"/>
          <w:szCs w:val="22"/>
        </w:rPr>
      </w:pPr>
      <w:r>
        <w:rPr>
          <w:rFonts w:asciiTheme="majorHAnsi" w:hAnsiTheme="majorHAnsi"/>
          <w:color w:val="000000"/>
          <w:sz w:val="22"/>
          <w:szCs w:val="22"/>
        </w:rPr>
        <w:t>T</w:t>
      </w:r>
      <w:r w:rsidRPr="00A62CAA">
        <w:rPr>
          <w:rFonts w:asciiTheme="majorHAnsi" w:hAnsiTheme="majorHAnsi"/>
          <w:color w:val="000000"/>
          <w:sz w:val="22"/>
          <w:szCs w:val="22"/>
        </w:rPr>
        <w:t>he law must be clear</w:t>
      </w:r>
      <w:r>
        <w:rPr>
          <w:rFonts w:asciiTheme="majorHAnsi" w:hAnsiTheme="majorHAnsi"/>
          <w:color w:val="000000"/>
          <w:sz w:val="22"/>
          <w:szCs w:val="22"/>
        </w:rPr>
        <w:t>ly</w:t>
      </w:r>
      <w:r w:rsidRPr="00A62CAA">
        <w:rPr>
          <w:rFonts w:asciiTheme="majorHAnsi" w:hAnsiTheme="majorHAnsi"/>
          <w:color w:val="000000"/>
          <w:sz w:val="22"/>
          <w:szCs w:val="22"/>
        </w:rPr>
        <w:t xml:space="preserve"> </w:t>
      </w:r>
      <w:r>
        <w:rPr>
          <w:rFonts w:asciiTheme="majorHAnsi" w:hAnsiTheme="majorHAnsi"/>
          <w:color w:val="000000"/>
          <w:sz w:val="22"/>
          <w:szCs w:val="22"/>
        </w:rPr>
        <w:t xml:space="preserve">and precisely </w:t>
      </w:r>
      <w:r w:rsidRPr="00A62CAA">
        <w:rPr>
          <w:rFonts w:asciiTheme="majorHAnsi" w:hAnsiTheme="majorHAnsi"/>
          <w:color w:val="000000"/>
          <w:sz w:val="22"/>
          <w:szCs w:val="22"/>
        </w:rPr>
        <w:t xml:space="preserve">formulated </w:t>
      </w:r>
      <w:r w:rsidRPr="00A62CAA">
        <w:rPr>
          <w:rFonts w:asciiTheme="majorHAnsi" w:hAnsiTheme="majorHAnsi" w:cs="Times New Roman"/>
          <w:sz w:val="22"/>
          <w:szCs w:val="22"/>
        </w:rPr>
        <w:t>to enable an individual to regulate his or her conduct accordingly</w:t>
      </w:r>
      <w:r>
        <w:rPr>
          <w:rStyle w:val="FootnoteReference"/>
          <w:rFonts w:asciiTheme="majorHAnsi" w:hAnsiTheme="majorHAnsi" w:cs="Times New Roman"/>
          <w:sz w:val="22"/>
          <w:szCs w:val="22"/>
        </w:rPr>
        <w:footnoteReference w:id="52"/>
      </w:r>
      <w:r w:rsidRPr="00A62CAA">
        <w:rPr>
          <w:rFonts w:asciiTheme="majorHAnsi" w:hAnsiTheme="majorHAnsi" w:cs="Times New Roman"/>
          <w:position w:val="10"/>
          <w:sz w:val="22"/>
          <w:szCs w:val="22"/>
        </w:rPr>
        <w:t xml:space="preserve"> </w:t>
      </w:r>
      <w:r w:rsidRPr="00A62CAA">
        <w:rPr>
          <w:rFonts w:asciiTheme="majorHAnsi" w:hAnsiTheme="majorHAnsi" w:cs="Times New Roman"/>
          <w:sz w:val="22"/>
          <w:szCs w:val="22"/>
        </w:rPr>
        <w:t xml:space="preserve">and </w:t>
      </w:r>
    </w:p>
    <w:p w14:paraId="256F6F34" w14:textId="77777777" w:rsidR="00136F69" w:rsidRDefault="00136F69" w:rsidP="00136F69">
      <w:pPr>
        <w:pStyle w:val="ListParagraph"/>
        <w:numPr>
          <w:ilvl w:val="0"/>
          <w:numId w:val="5"/>
        </w:numPr>
        <w:jc w:val="both"/>
        <w:rPr>
          <w:rFonts w:asciiTheme="majorHAnsi" w:hAnsiTheme="majorHAnsi" w:cs="Times New Roman"/>
          <w:sz w:val="22"/>
          <w:szCs w:val="22"/>
        </w:rPr>
      </w:pPr>
      <w:r>
        <w:rPr>
          <w:rFonts w:asciiTheme="majorHAnsi" w:hAnsiTheme="majorHAnsi" w:cs="Times New Roman"/>
          <w:sz w:val="22"/>
          <w:szCs w:val="22"/>
        </w:rPr>
        <w:t xml:space="preserve">The law </w:t>
      </w:r>
      <w:r w:rsidRPr="00A62CAA">
        <w:rPr>
          <w:rFonts w:asciiTheme="majorHAnsi" w:hAnsiTheme="majorHAnsi" w:cs="Times New Roman"/>
          <w:sz w:val="22"/>
          <w:szCs w:val="22"/>
        </w:rPr>
        <w:t>must be made accessible to the public.</w:t>
      </w:r>
    </w:p>
    <w:p w14:paraId="3F09D20B" w14:textId="4260D09D" w:rsidR="00136F69" w:rsidRDefault="00136F69" w:rsidP="00136F69">
      <w:pPr>
        <w:pStyle w:val="ListParagraph"/>
        <w:numPr>
          <w:ilvl w:val="0"/>
          <w:numId w:val="5"/>
        </w:numPr>
        <w:jc w:val="both"/>
        <w:rPr>
          <w:rFonts w:asciiTheme="majorHAnsi" w:hAnsiTheme="majorHAnsi" w:cs="Times New Roman"/>
          <w:sz w:val="22"/>
          <w:szCs w:val="22"/>
        </w:rPr>
      </w:pPr>
      <w:r>
        <w:rPr>
          <w:rFonts w:asciiTheme="majorHAnsi" w:hAnsiTheme="majorHAnsi" w:cs="Times New Roman"/>
          <w:sz w:val="22"/>
          <w:szCs w:val="22"/>
        </w:rPr>
        <w:t xml:space="preserve">It cannot confer upon government (this includes rulers of any kind, </w:t>
      </w:r>
      <w:r w:rsidR="000970DB">
        <w:rPr>
          <w:rFonts w:asciiTheme="majorHAnsi" w:hAnsiTheme="majorHAnsi" w:cs="Times New Roman"/>
          <w:sz w:val="22"/>
          <w:szCs w:val="22"/>
        </w:rPr>
        <w:t xml:space="preserve">and parliaments) </w:t>
      </w:r>
      <w:r>
        <w:rPr>
          <w:rFonts w:asciiTheme="majorHAnsi" w:hAnsiTheme="majorHAnsi" w:cs="Times New Roman"/>
          <w:sz w:val="22"/>
          <w:szCs w:val="22"/>
        </w:rPr>
        <w:t>“unfettered discretion</w:t>
      </w:r>
      <w:r>
        <w:rPr>
          <w:rStyle w:val="FootnoteReference"/>
          <w:rFonts w:asciiTheme="majorHAnsi" w:hAnsiTheme="majorHAnsi" w:cs="Times New Roman"/>
          <w:sz w:val="22"/>
          <w:szCs w:val="22"/>
        </w:rPr>
        <w:footnoteReference w:id="53"/>
      </w:r>
      <w:r>
        <w:rPr>
          <w:rFonts w:asciiTheme="majorHAnsi" w:hAnsiTheme="majorHAnsi" w:cs="Times New Roman"/>
          <w:sz w:val="22"/>
          <w:szCs w:val="22"/>
        </w:rPr>
        <w:t>”</w:t>
      </w:r>
      <w:r w:rsidRPr="00A62CAA">
        <w:rPr>
          <w:rFonts w:asciiTheme="majorHAnsi" w:hAnsiTheme="majorHAnsi" w:cs="Times New Roman"/>
          <w:sz w:val="22"/>
          <w:szCs w:val="22"/>
        </w:rPr>
        <w:t xml:space="preserve"> </w:t>
      </w:r>
    </w:p>
    <w:p w14:paraId="76CBB3A7" w14:textId="77777777" w:rsidR="00136F69" w:rsidRDefault="00136F69" w:rsidP="00136F69">
      <w:pPr>
        <w:pStyle w:val="ListParagraph"/>
        <w:numPr>
          <w:ilvl w:val="0"/>
          <w:numId w:val="5"/>
        </w:numPr>
        <w:jc w:val="both"/>
        <w:rPr>
          <w:rFonts w:asciiTheme="majorHAnsi" w:hAnsiTheme="majorHAnsi" w:cs="Times New Roman"/>
          <w:sz w:val="22"/>
          <w:szCs w:val="22"/>
        </w:rPr>
      </w:pPr>
      <w:r>
        <w:rPr>
          <w:rFonts w:asciiTheme="majorHAnsi" w:hAnsiTheme="majorHAnsi" w:cs="Times New Roman"/>
          <w:sz w:val="22"/>
          <w:szCs w:val="22"/>
        </w:rPr>
        <w:t>It must be compatible with all the provisions of the ICCPR</w:t>
      </w:r>
      <w:r>
        <w:rPr>
          <w:rStyle w:val="FootnoteReference"/>
          <w:rFonts w:asciiTheme="majorHAnsi" w:hAnsiTheme="majorHAnsi" w:cs="Times New Roman"/>
          <w:sz w:val="22"/>
          <w:szCs w:val="22"/>
        </w:rPr>
        <w:footnoteReference w:id="54"/>
      </w:r>
    </w:p>
    <w:p w14:paraId="7FB80EB1" w14:textId="77777777" w:rsidR="00136F69" w:rsidRDefault="00136F69" w:rsidP="00136F69">
      <w:pPr>
        <w:pStyle w:val="ListParagraph"/>
        <w:numPr>
          <w:ilvl w:val="0"/>
          <w:numId w:val="5"/>
        </w:numPr>
        <w:jc w:val="both"/>
        <w:rPr>
          <w:rFonts w:asciiTheme="majorHAnsi" w:hAnsiTheme="majorHAnsi" w:cs="Times New Roman"/>
          <w:sz w:val="22"/>
          <w:szCs w:val="22"/>
        </w:rPr>
      </w:pPr>
      <w:r>
        <w:rPr>
          <w:rFonts w:asciiTheme="majorHAnsi" w:hAnsiTheme="majorHAnsi" w:cs="Times New Roman"/>
          <w:sz w:val="22"/>
          <w:szCs w:val="22"/>
        </w:rPr>
        <w:t xml:space="preserve">It cannot violate the non-discrimination provisions </w:t>
      </w:r>
    </w:p>
    <w:p w14:paraId="53189469" w14:textId="77777777" w:rsidR="00136F69" w:rsidRPr="00A62CAA" w:rsidRDefault="00136F69" w:rsidP="00136F69">
      <w:pPr>
        <w:pStyle w:val="ListParagraph"/>
        <w:numPr>
          <w:ilvl w:val="0"/>
          <w:numId w:val="5"/>
        </w:numPr>
        <w:jc w:val="both"/>
        <w:rPr>
          <w:rFonts w:asciiTheme="majorHAnsi" w:hAnsiTheme="majorHAnsi" w:cs="Times New Roman"/>
          <w:sz w:val="22"/>
          <w:szCs w:val="22"/>
        </w:rPr>
      </w:pPr>
      <w:r>
        <w:rPr>
          <w:rFonts w:asciiTheme="majorHAnsi" w:hAnsiTheme="majorHAnsi" w:cs="Times New Roman"/>
          <w:sz w:val="22"/>
          <w:szCs w:val="22"/>
        </w:rPr>
        <w:t>It cannot provide for penalties that are incompatible with the ICCPR, such as corporal punishments</w:t>
      </w:r>
      <w:r>
        <w:rPr>
          <w:rStyle w:val="FootnoteReference"/>
          <w:rFonts w:asciiTheme="majorHAnsi" w:hAnsiTheme="majorHAnsi" w:cs="Times New Roman"/>
          <w:sz w:val="22"/>
          <w:szCs w:val="22"/>
        </w:rPr>
        <w:footnoteReference w:id="55"/>
      </w:r>
      <w:r>
        <w:rPr>
          <w:rFonts w:asciiTheme="majorHAnsi" w:hAnsiTheme="majorHAnsi" w:cs="Times New Roman"/>
          <w:sz w:val="22"/>
          <w:szCs w:val="22"/>
        </w:rPr>
        <w:t xml:space="preserve">. </w:t>
      </w:r>
    </w:p>
    <w:p w14:paraId="71026093" w14:textId="77777777" w:rsidR="00136F69" w:rsidRDefault="00136F69" w:rsidP="00136F69">
      <w:pPr>
        <w:jc w:val="both"/>
        <w:rPr>
          <w:rFonts w:asciiTheme="majorHAnsi" w:hAnsiTheme="majorHAnsi"/>
          <w:color w:val="000000"/>
          <w:sz w:val="22"/>
          <w:szCs w:val="22"/>
        </w:rPr>
      </w:pPr>
    </w:p>
    <w:p w14:paraId="033FDED8" w14:textId="77777777" w:rsidR="00136F69" w:rsidRPr="0079455F" w:rsidRDefault="00136F69" w:rsidP="00136F69">
      <w:pPr>
        <w:jc w:val="both"/>
        <w:rPr>
          <w:rFonts w:asciiTheme="majorHAnsi" w:hAnsiTheme="majorHAnsi"/>
          <w:color w:val="000000"/>
          <w:sz w:val="22"/>
          <w:szCs w:val="22"/>
        </w:rPr>
      </w:pPr>
      <w:r w:rsidRPr="00356241">
        <w:rPr>
          <w:rFonts w:asciiTheme="majorHAnsi" w:hAnsiTheme="majorHAnsi" w:cs="Times"/>
          <w:b/>
        </w:rPr>
        <w:t>Second, the grounds for the restriction are specific:</w:t>
      </w:r>
      <w:r>
        <w:rPr>
          <w:rFonts w:ascii="Times" w:hAnsi="Times" w:cs="Times"/>
        </w:rPr>
        <w:t xml:space="preserve"> </w:t>
      </w:r>
      <w:r w:rsidRPr="0051146D">
        <w:rPr>
          <w:rFonts w:asciiTheme="majorHAnsi" w:hAnsiTheme="majorHAnsi"/>
          <w:i/>
          <w:color w:val="000000"/>
          <w:sz w:val="22"/>
          <w:szCs w:val="22"/>
        </w:rPr>
        <w:t>(a) For respect of the rights or reputations of others; (b) For the protection of national security or of public order (</w:t>
      </w:r>
      <w:proofErr w:type="spellStart"/>
      <w:r w:rsidRPr="0051146D">
        <w:rPr>
          <w:rFonts w:asciiTheme="majorHAnsi" w:hAnsiTheme="majorHAnsi"/>
          <w:i/>
          <w:color w:val="000000"/>
          <w:sz w:val="22"/>
          <w:szCs w:val="22"/>
        </w:rPr>
        <w:t>ordre</w:t>
      </w:r>
      <w:proofErr w:type="spellEnd"/>
      <w:r w:rsidRPr="0051146D">
        <w:rPr>
          <w:rFonts w:asciiTheme="majorHAnsi" w:hAnsiTheme="majorHAnsi"/>
          <w:i/>
          <w:color w:val="000000"/>
          <w:sz w:val="22"/>
          <w:szCs w:val="22"/>
        </w:rPr>
        <w:t xml:space="preserve"> public), or of public health or morals. </w:t>
      </w:r>
      <w:r>
        <w:rPr>
          <w:rFonts w:asciiTheme="majorHAnsi" w:hAnsiTheme="majorHAnsi"/>
          <w:i/>
          <w:color w:val="000000"/>
          <w:sz w:val="22"/>
          <w:szCs w:val="22"/>
        </w:rPr>
        <w:t xml:space="preserve"> </w:t>
      </w:r>
      <w:r>
        <w:rPr>
          <w:rFonts w:asciiTheme="majorHAnsi" w:hAnsiTheme="majorHAnsi"/>
          <w:color w:val="000000"/>
          <w:sz w:val="22"/>
          <w:szCs w:val="22"/>
        </w:rPr>
        <w:t>The HRC determined that:</w:t>
      </w:r>
    </w:p>
    <w:p w14:paraId="4454A643" w14:textId="77777777" w:rsidR="00136F69" w:rsidRPr="00356241" w:rsidRDefault="00136F69" w:rsidP="00136F69">
      <w:pPr>
        <w:jc w:val="both"/>
        <w:rPr>
          <w:rFonts w:asciiTheme="majorHAnsi" w:hAnsiTheme="majorHAnsi" w:cs="Arial"/>
          <w:sz w:val="22"/>
          <w:szCs w:val="22"/>
        </w:rPr>
      </w:pPr>
    </w:p>
    <w:p w14:paraId="7E7B2F1B" w14:textId="77777777" w:rsidR="00136F69" w:rsidRPr="007E0E02" w:rsidRDefault="00136F69" w:rsidP="00136F69">
      <w:pPr>
        <w:pStyle w:val="ListParagraph"/>
        <w:widowControl w:val="0"/>
        <w:numPr>
          <w:ilvl w:val="0"/>
          <w:numId w:val="6"/>
        </w:numPr>
        <w:autoSpaceDE w:val="0"/>
        <w:autoSpaceDN w:val="0"/>
        <w:adjustRightInd w:val="0"/>
        <w:spacing w:after="240"/>
        <w:rPr>
          <w:rFonts w:asciiTheme="majorHAnsi" w:hAnsiTheme="majorHAnsi" w:cs="Times"/>
          <w:sz w:val="22"/>
          <w:szCs w:val="22"/>
        </w:rPr>
      </w:pPr>
      <w:r w:rsidRPr="007E0E02">
        <w:rPr>
          <w:rFonts w:asciiTheme="majorHAnsi" w:hAnsiTheme="majorHAnsi" w:cs="Times New Roman"/>
          <w:sz w:val="22"/>
          <w:szCs w:val="22"/>
        </w:rPr>
        <w:t>Restrictions are not allowed on ground</w:t>
      </w:r>
      <w:r>
        <w:rPr>
          <w:rFonts w:asciiTheme="majorHAnsi" w:hAnsiTheme="majorHAnsi" w:cs="Times New Roman"/>
          <w:sz w:val="22"/>
          <w:szCs w:val="22"/>
        </w:rPr>
        <w:t>s not specified in paragraph 3</w:t>
      </w:r>
    </w:p>
    <w:p w14:paraId="56CB1CB0" w14:textId="77777777" w:rsidR="00136F69" w:rsidRPr="007E0E02" w:rsidRDefault="00136F69" w:rsidP="00136F69">
      <w:pPr>
        <w:pStyle w:val="ListParagraph"/>
        <w:numPr>
          <w:ilvl w:val="0"/>
          <w:numId w:val="6"/>
        </w:numPr>
        <w:jc w:val="both"/>
        <w:rPr>
          <w:rFonts w:asciiTheme="majorHAnsi" w:hAnsiTheme="majorHAnsi" w:cs="Arial"/>
          <w:sz w:val="22"/>
          <w:szCs w:val="22"/>
        </w:rPr>
      </w:pPr>
      <w:r w:rsidRPr="007E0E02">
        <w:rPr>
          <w:rFonts w:asciiTheme="majorHAnsi" w:hAnsiTheme="majorHAnsi" w:cs="Times New Roman"/>
          <w:sz w:val="22"/>
          <w:szCs w:val="22"/>
        </w:rPr>
        <w:t>With regard to national security, “It is not compatible with paragraph 3, for instance, to invoke such laws to suppress or withhold from the public information of legitimate public interest that does not harm national security or to prosecute journalists, researchers, environmental activists, human rights defenders, or others, for having disseminated such information.”</w:t>
      </w:r>
      <w:r w:rsidRPr="007E0E02">
        <w:rPr>
          <w:rFonts w:ascii="Times New Roman" w:hAnsi="Times New Roman" w:cs="Times New Roman"/>
          <w:sz w:val="26"/>
          <w:szCs w:val="26"/>
        </w:rPr>
        <w:t xml:space="preserve"> </w:t>
      </w:r>
    </w:p>
    <w:p w14:paraId="49186BC5" w14:textId="77777777" w:rsidR="00136F69" w:rsidRPr="007E0E02" w:rsidRDefault="00136F69" w:rsidP="00136F69">
      <w:pPr>
        <w:pStyle w:val="ListParagraph"/>
        <w:jc w:val="both"/>
        <w:rPr>
          <w:rFonts w:asciiTheme="majorHAnsi" w:hAnsiTheme="majorHAnsi" w:cs="Arial"/>
          <w:sz w:val="22"/>
          <w:szCs w:val="22"/>
        </w:rPr>
      </w:pPr>
    </w:p>
    <w:p w14:paraId="48EB4A9E" w14:textId="77777777" w:rsidR="00136F69" w:rsidRPr="00944951" w:rsidRDefault="00136F69" w:rsidP="00136F69">
      <w:pPr>
        <w:widowControl w:val="0"/>
        <w:autoSpaceDE w:val="0"/>
        <w:autoSpaceDN w:val="0"/>
        <w:adjustRightInd w:val="0"/>
        <w:rPr>
          <w:rFonts w:asciiTheme="majorHAnsi" w:hAnsiTheme="majorHAnsi" w:cs="Times New Roman"/>
          <w:sz w:val="22"/>
          <w:szCs w:val="22"/>
        </w:rPr>
      </w:pPr>
      <w:r w:rsidRPr="007E0E02">
        <w:rPr>
          <w:rFonts w:asciiTheme="majorHAnsi" w:hAnsiTheme="majorHAnsi" w:cs="Times New Roman"/>
          <w:sz w:val="22"/>
          <w:szCs w:val="22"/>
        </w:rPr>
        <w:t>Third, the restrictions must be “</w:t>
      </w:r>
      <w:r w:rsidRPr="007E0E02">
        <w:rPr>
          <w:rFonts w:asciiTheme="majorHAnsi" w:hAnsiTheme="majorHAnsi" w:cs="Times New Roman"/>
          <w:b/>
          <w:sz w:val="22"/>
          <w:szCs w:val="22"/>
        </w:rPr>
        <w:t>necessary.</w:t>
      </w:r>
      <w:r w:rsidRPr="007E0E02">
        <w:rPr>
          <w:rFonts w:asciiTheme="majorHAnsi" w:hAnsiTheme="majorHAnsi" w:cs="Times New Roman"/>
          <w:sz w:val="22"/>
          <w:szCs w:val="22"/>
        </w:rPr>
        <w:t>” The</w:t>
      </w:r>
      <w:r>
        <w:rPr>
          <w:rFonts w:asciiTheme="majorHAnsi" w:hAnsiTheme="majorHAnsi" w:cs="Times New Roman"/>
          <w:sz w:val="22"/>
          <w:szCs w:val="22"/>
        </w:rPr>
        <w:t xml:space="preserve"> HRC has interpreted the</w:t>
      </w:r>
      <w:r w:rsidRPr="007E0E02">
        <w:rPr>
          <w:rFonts w:asciiTheme="majorHAnsi" w:hAnsiTheme="majorHAnsi" w:cs="Times New Roman"/>
          <w:sz w:val="22"/>
          <w:szCs w:val="22"/>
        </w:rPr>
        <w:t xml:space="preserve"> necessity test to </w:t>
      </w:r>
      <w:r>
        <w:rPr>
          <w:rFonts w:asciiTheme="majorHAnsi" w:hAnsiTheme="majorHAnsi" w:cs="Times New Roman"/>
          <w:sz w:val="22"/>
          <w:szCs w:val="22"/>
        </w:rPr>
        <w:t xml:space="preserve">require that the restrictions conform to a number of conditions, including those related to their </w:t>
      </w:r>
      <w:r w:rsidRPr="00EE3EE6">
        <w:rPr>
          <w:rFonts w:asciiTheme="majorHAnsi" w:hAnsiTheme="majorHAnsi" w:cs="Times New Roman"/>
          <w:b/>
          <w:sz w:val="22"/>
          <w:szCs w:val="22"/>
        </w:rPr>
        <w:t>proportionality</w:t>
      </w:r>
      <w:r>
        <w:rPr>
          <w:rFonts w:asciiTheme="majorHAnsi" w:hAnsiTheme="majorHAnsi" w:cs="Times New Roman"/>
          <w:sz w:val="22"/>
          <w:szCs w:val="22"/>
        </w:rPr>
        <w:t xml:space="preserve">: </w:t>
      </w:r>
    </w:p>
    <w:p w14:paraId="059A7860" w14:textId="77777777" w:rsidR="00136F69" w:rsidRPr="00944951" w:rsidRDefault="00136F69" w:rsidP="00136F69">
      <w:pPr>
        <w:pStyle w:val="ListParagraph"/>
        <w:widowControl w:val="0"/>
        <w:numPr>
          <w:ilvl w:val="0"/>
          <w:numId w:val="7"/>
        </w:numPr>
        <w:autoSpaceDE w:val="0"/>
        <w:autoSpaceDN w:val="0"/>
        <w:adjustRightInd w:val="0"/>
        <w:rPr>
          <w:rFonts w:asciiTheme="majorHAnsi" w:hAnsiTheme="majorHAnsi" w:cs="Times New Roman"/>
          <w:sz w:val="22"/>
          <w:szCs w:val="22"/>
        </w:rPr>
      </w:pPr>
      <w:r w:rsidRPr="00944951">
        <w:rPr>
          <w:rFonts w:asciiTheme="majorHAnsi" w:hAnsiTheme="majorHAnsi" w:cs="Times New Roman"/>
          <w:sz w:val="22"/>
          <w:szCs w:val="22"/>
        </w:rPr>
        <w:t>Restrictions must serve a legitimate purpose (one of the aforementioned grounds)</w:t>
      </w:r>
    </w:p>
    <w:p w14:paraId="1208C0B6" w14:textId="77777777" w:rsidR="00136F69" w:rsidRPr="00944951" w:rsidRDefault="00136F69" w:rsidP="00136F69">
      <w:pPr>
        <w:pStyle w:val="ListParagraph"/>
        <w:widowControl w:val="0"/>
        <w:numPr>
          <w:ilvl w:val="0"/>
          <w:numId w:val="7"/>
        </w:numPr>
        <w:autoSpaceDE w:val="0"/>
        <w:autoSpaceDN w:val="0"/>
        <w:adjustRightInd w:val="0"/>
        <w:rPr>
          <w:rFonts w:asciiTheme="majorHAnsi" w:hAnsiTheme="majorHAnsi" w:cs="Times New Roman"/>
          <w:sz w:val="22"/>
          <w:szCs w:val="22"/>
        </w:rPr>
      </w:pPr>
      <w:r w:rsidRPr="00944951">
        <w:rPr>
          <w:rFonts w:asciiTheme="majorHAnsi" w:hAnsiTheme="majorHAnsi" w:cs="Times New Roman"/>
          <w:sz w:val="22"/>
          <w:szCs w:val="22"/>
        </w:rPr>
        <w:t>They must not be overbroad</w:t>
      </w:r>
    </w:p>
    <w:p w14:paraId="74D5C4AE" w14:textId="77777777" w:rsidR="00136F69" w:rsidRPr="00EE3EE6" w:rsidRDefault="00136F69" w:rsidP="00136F69">
      <w:pPr>
        <w:pStyle w:val="ListParagraph"/>
        <w:widowControl w:val="0"/>
        <w:numPr>
          <w:ilvl w:val="0"/>
          <w:numId w:val="7"/>
        </w:numPr>
        <w:autoSpaceDE w:val="0"/>
        <w:autoSpaceDN w:val="0"/>
        <w:adjustRightInd w:val="0"/>
        <w:rPr>
          <w:rFonts w:asciiTheme="majorHAnsi" w:hAnsiTheme="majorHAnsi" w:cs="Times"/>
          <w:sz w:val="22"/>
          <w:szCs w:val="22"/>
        </w:rPr>
      </w:pPr>
      <w:r>
        <w:rPr>
          <w:rFonts w:asciiTheme="majorHAnsi" w:hAnsiTheme="majorHAnsi" w:cs="Times New Roman"/>
          <w:sz w:val="22"/>
          <w:szCs w:val="22"/>
        </w:rPr>
        <w:t xml:space="preserve">They </w:t>
      </w:r>
      <w:r w:rsidRPr="00944951">
        <w:rPr>
          <w:rFonts w:asciiTheme="majorHAnsi" w:hAnsiTheme="majorHAnsi" w:cs="Times New Roman"/>
          <w:sz w:val="22"/>
          <w:szCs w:val="22"/>
        </w:rPr>
        <w:t xml:space="preserve">must be applied only for those purposes for which they were prescribed and must be directly related to the specific need on which they are predicated. </w:t>
      </w:r>
    </w:p>
    <w:p w14:paraId="47E73AC0" w14:textId="77777777" w:rsidR="00136F69" w:rsidRPr="00EE3EE6" w:rsidRDefault="00136F69" w:rsidP="00136F69">
      <w:pPr>
        <w:pStyle w:val="ListParagraph"/>
        <w:widowControl w:val="0"/>
        <w:numPr>
          <w:ilvl w:val="0"/>
          <w:numId w:val="7"/>
        </w:numPr>
        <w:autoSpaceDE w:val="0"/>
        <w:autoSpaceDN w:val="0"/>
        <w:adjustRightInd w:val="0"/>
        <w:rPr>
          <w:rFonts w:asciiTheme="majorHAnsi" w:hAnsiTheme="majorHAnsi" w:cs="Times"/>
          <w:sz w:val="22"/>
          <w:szCs w:val="22"/>
        </w:rPr>
      </w:pPr>
      <w:r>
        <w:rPr>
          <w:rFonts w:asciiTheme="majorHAnsi" w:hAnsiTheme="majorHAnsi" w:cs="Times New Roman"/>
          <w:sz w:val="22"/>
          <w:szCs w:val="22"/>
        </w:rPr>
        <w:t>T</w:t>
      </w:r>
      <w:r w:rsidRPr="00EE3EE6">
        <w:rPr>
          <w:rFonts w:asciiTheme="majorHAnsi" w:hAnsiTheme="majorHAnsi" w:cs="Times New Roman"/>
          <w:sz w:val="22"/>
          <w:szCs w:val="22"/>
        </w:rPr>
        <w:t xml:space="preserve">hey must be appropriate to achieve their protective function; </w:t>
      </w:r>
    </w:p>
    <w:p w14:paraId="0CC5B530" w14:textId="77777777" w:rsidR="00136F69" w:rsidRPr="00D57409" w:rsidRDefault="00136F69" w:rsidP="00136F69">
      <w:pPr>
        <w:pStyle w:val="ListParagraph"/>
        <w:widowControl w:val="0"/>
        <w:numPr>
          <w:ilvl w:val="0"/>
          <w:numId w:val="7"/>
        </w:numPr>
        <w:autoSpaceDE w:val="0"/>
        <w:autoSpaceDN w:val="0"/>
        <w:adjustRightInd w:val="0"/>
        <w:rPr>
          <w:rFonts w:asciiTheme="majorHAnsi" w:hAnsiTheme="majorHAnsi" w:cs="Times"/>
          <w:sz w:val="22"/>
          <w:szCs w:val="22"/>
        </w:rPr>
      </w:pPr>
      <w:r>
        <w:rPr>
          <w:rFonts w:asciiTheme="majorHAnsi" w:hAnsiTheme="majorHAnsi" w:cs="Times New Roman"/>
          <w:sz w:val="22"/>
          <w:szCs w:val="22"/>
        </w:rPr>
        <w:t>T</w:t>
      </w:r>
      <w:r w:rsidRPr="00EE3EE6">
        <w:rPr>
          <w:rFonts w:asciiTheme="majorHAnsi" w:hAnsiTheme="majorHAnsi" w:cs="Times New Roman"/>
          <w:sz w:val="22"/>
          <w:szCs w:val="22"/>
        </w:rPr>
        <w:t xml:space="preserve">hey must be the least intrusive </w:t>
      </w:r>
      <w:proofErr w:type="gramStart"/>
      <w:r w:rsidRPr="00EE3EE6">
        <w:rPr>
          <w:rFonts w:asciiTheme="majorHAnsi" w:hAnsiTheme="majorHAnsi" w:cs="Times New Roman"/>
          <w:sz w:val="22"/>
          <w:szCs w:val="22"/>
        </w:rPr>
        <w:t>instrument</w:t>
      </w:r>
      <w:proofErr w:type="gramEnd"/>
      <w:r w:rsidRPr="00EE3EE6">
        <w:rPr>
          <w:rFonts w:asciiTheme="majorHAnsi" w:hAnsiTheme="majorHAnsi" w:cs="Times New Roman"/>
          <w:sz w:val="22"/>
          <w:szCs w:val="22"/>
        </w:rPr>
        <w:t xml:space="preserve"> amongst those which might ach</w:t>
      </w:r>
      <w:r>
        <w:rPr>
          <w:rFonts w:asciiTheme="majorHAnsi" w:hAnsiTheme="majorHAnsi" w:cs="Times New Roman"/>
          <w:sz w:val="22"/>
          <w:szCs w:val="22"/>
        </w:rPr>
        <w:t>ieve their protective function.</w:t>
      </w:r>
    </w:p>
    <w:p w14:paraId="17C4B953" w14:textId="77777777" w:rsidR="00136F69" w:rsidRDefault="00136F69" w:rsidP="00136F69">
      <w:pPr>
        <w:widowControl w:val="0"/>
        <w:autoSpaceDE w:val="0"/>
        <w:autoSpaceDN w:val="0"/>
        <w:adjustRightInd w:val="0"/>
        <w:rPr>
          <w:rFonts w:asciiTheme="majorHAnsi" w:hAnsiTheme="majorHAnsi" w:cs="Times"/>
          <w:sz w:val="22"/>
          <w:szCs w:val="22"/>
        </w:rPr>
      </w:pPr>
    </w:p>
    <w:p w14:paraId="7106522E" w14:textId="77777777" w:rsidR="00136F69" w:rsidRPr="00D57409" w:rsidRDefault="00136F69" w:rsidP="00136F69">
      <w:pPr>
        <w:widowControl w:val="0"/>
        <w:autoSpaceDE w:val="0"/>
        <w:autoSpaceDN w:val="0"/>
        <w:adjustRightInd w:val="0"/>
        <w:rPr>
          <w:rFonts w:asciiTheme="majorHAnsi" w:hAnsiTheme="majorHAnsi" w:cs="Times"/>
          <w:sz w:val="22"/>
          <w:szCs w:val="22"/>
        </w:rPr>
      </w:pPr>
      <w:r>
        <w:rPr>
          <w:rFonts w:asciiTheme="majorHAnsi" w:hAnsiTheme="majorHAnsi" w:cs="Times"/>
          <w:sz w:val="22"/>
          <w:szCs w:val="22"/>
        </w:rPr>
        <w:t xml:space="preserve">In addition, General Comment 34 also states that </w:t>
      </w:r>
    </w:p>
    <w:p w14:paraId="1A8BB549" w14:textId="77777777" w:rsidR="00136F69" w:rsidRPr="00D57409" w:rsidRDefault="00136F69" w:rsidP="00136F69">
      <w:pPr>
        <w:pStyle w:val="ListParagraph"/>
        <w:widowControl w:val="0"/>
        <w:numPr>
          <w:ilvl w:val="0"/>
          <w:numId w:val="7"/>
        </w:numPr>
        <w:autoSpaceDE w:val="0"/>
        <w:autoSpaceDN w:val="0"/>
        <w:adjustRightInd w:val="0"/>
        <w:spacing w:after="240"/>
        <w:rPr>
          <w:rFonts w:asciiTheme="majorHAnsi" w:hAnsiTheme="majorHAnsi" w:cs="Times"/>
          <w:sz w:val="22"/>
          <w:szCs w:val="22"/>
        </w:rPr>
      </w:pPr>
      <w:r w:rsidRPr="00D57409">
        <w:rPr>
          <w:rFonts w:asciiTheme="majorHAnsi" w:hAnsiTheme="majorHAnsi" w:cs="Times New Roman"/>
          <w:sz w:val="22"/>
          <w:szCs w:val="22"/>
        </w:rPr>
        <w:t>“The principle of proportionality must also take account of the form of expression at issue as well as the means of its dissemination. For instance, the value placed by the Covenant upon uninhibited expression is particularly high in the circumstances of public debate in a democratic society concerning figures in the public and political domain.</w:t>
      </w:r>
      <w:r w:rsidRPr="00D57409">
        <w:rPr>
          <w:rStyle w:val="FootnoteReference"/>
          <w:rFonts w:asciiTheme="majorHAnsi" w:hAnsiTheme="majorHAnsi" w:cs="Times New Roman"/>
          <w:sz w:val="22"/>
          <w:szCs w:val="22"/>
        </w:rPr>
        <w:footnoteReference w:id="56"/>
      </w:r>
      <w:r w:rsidRPr="00D57409">
        <w:rPr>
          <w:rFonts w:asciiTheme="majorHAnsi" w:hAnsiTheme="majorHAnsi" w:cs="Times New Roman"/>
          <w:sz w:val="22"/>
          <w:szCs w:val="22"/>
        </w:rPr>
        <w:t xml:space="preserve">” </w:t>
      </w:r>
    </w:p>
    <w:p w14:paraId="7CB66DAF" w14:textId="77777777" w:rsidR="00136F69" w:rsidRPr="00D57409" w:rsidRDefault="00136F69" w:rsidP="00136F69">
      <w:pPr>
        <w:pStyle w:val="ListParagraph"/>
        <w:widowControl w:val="0"/>
        <w:numPr>
          <w:ilvl w:val="0"/>
          <w:numId w:val="7"/>
        </w:numPr>
        <w:autoSpaceDE w:val="0"/>
        <w:autoSpaceDN w:val="0"/>
        <w:adjustRightInd w:val="0"/>
        <w:rPr>
          <w:rFonts w:asciiTheme="majorHAnsi" w:hAnsiTheme="majorHAnsi" w:cs="Times"/>
          <w:sz w:val="22"/>
          <w:szCs w:val="22"/>
        </w:rPr>
      </w:pPr>
      <w:r w:rsidRPr="00D57409">
        <w:rPr>
          <w:rFonts w:asciiTheme="majorHAnsi" w:hAnsiTheme="majorHAnsi" w:cs="Times New Roman"/>
          <w:sz w:val="22"/>
          <w:szCs w:val="22"/>
        </w:rPr>
        <w:t>The principle of proportionality has to be respected not only in the law that frames the restrictions but also by the administrative and judicial authorities in applying the law</w:t>
      </w:r>
      <w:r w:rsidRPr="00D57409">
        <w:rPr>
          <w:rStyle w:val="FootnoteReference"/>
          <w:rFonts w:asciiTheme="majorHAnsi" w:hAnsiTheme="majorHAnsi" w:cs="Times New Roman"/>
          <w:sz w:val="22"/>
          <w:szCs w:val="22"/>
        </w:rPr>
        <w:footnoteReference w:id="57"/>
      </w:r>
      <w:r w:rsidRPr="00D57409">
        <w:rPr>
          <w:rFonts w:asciiTheme="majorHAnsi" w:hAnsiTheme="majorHAnsi" w:cs="Times New Roman"/>
          <w:sz w:val="22"/>
          <w:szCs w:val="22"/>
        </w:rPr>
        <w:t xml:space="preserve">” </w:t>
      </w:r>
    </w:p>
    <w:p w14:paraId="7D9ACD4E" w14:textId="77777777" w:rsidR="00136F69" w:rsidRPr="00D57409" w:rsidRDefault="00136F69" w:rsidP="00136F69">
      <w:pPr>
        <w:pStyle w:val="ListParagraph"/>
        <w:widowControl w:val="0"/>
        <w:numPr>
          <w:ilvl w:val="0"/>
          <w:numId w:val="7"/>
        </w:numPr>
        <w:autoSpaceDE w:val="0"/>
        <w:autoSpaceDN w:val="0"/>
        <w:adjustRightInd w:val="0"/>
        <w:spacing w:after="240"/>
        <w:rPr>
          <w:rFonts w:asciiTheme="majorHAnsi" w:hAnsiTheme="majorHAnsi" w:cs="Times"/>
          <w:sz w:val="22"/>
          <w:szCs w:val="22"/>
        </w:rPr>
      </w:pPr>
      <w:r w:rsidRPr="00D57409">
        <w:rPr>
          <w:rFonts w:asciiTheme="majorHAnsi" w:hAnsiTheme="majorHAnsi" w:cs="Times New Roman"/>
          <w:sz w:val="22"/>
          <w:szCs w:val="22"/>
        </w:rPr>
        <w:t>A State party, in any given case, must demonstrate in specific fashion the precise nature of the threat to any of the enumerated grounds listed in paragraph 3 that has caused it to restrict freedom of expression, and the necessity and proportionality of the specific action taken, in particular by establishing a direct and immediate connection between the expression and the threat.</w:t>
      </w:r>
    </w:p>
    <w:p w14:paraId="2FC28BBA" w14:textId="77777777" w:rsidR="00F93E8F" w:rsidRDefault="00F93E8F"/>
    <w:p w14:paraId="3D668488" w14:textId="77777777" w:rsidR="00272F1D" w:rsidRDefault="00272F1D"/>
    <w:p w14:paraId="0C0881C1" w14:textId="77777777" w:rsidR="00272F1D" w:rsidRDefault="00272F1D"/>
    <w:sectPr w:rsidR="00272F1D" w:rsidSect="00F43897">
      <w:headerReference w:type="default" r:id="rId20"/>
      <w:pgSz w:w="12240" w:h="15840"/>
      <w:pgMar w:top="2162"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1405D" w14:textId="77777777" w:rsidR="00B53FC7" w:rsidRDefault="00B53FC7" w:rsidP="00205AC7">
      <w:r>
        <w:separator/>
      </w:r>
    </w:p>
  </w:endnote>
  <w:endnote w:type="continuationSeparator" w:id="0">
    <w:p w14:paraId="62E1AE48" w14:textId="77777777" w:rsidR="00B53FC7" w:rsidRDefault="00B53FC7" w:rsidP="0020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94438" w14:textId="77777777" w:rsidR="00B53FC7" w:rsidRDefault="00B53FC7" w:rsidP="00205AC7">
      <w:r>
        <w:separator/>
      </w:r>
    </w:p>
  </w:footnote>
  <w:footnote w:type="continuationSeparator" w:id="0">
    <w:p w14:paraId="5866BB5D" w14:textId="77777777" w:rsidR="00B53FC7" w:rsidRDefault="00B53FC7" w:rsidP="00205AC7">
      <w:r>
        <w:continuationSeparator/>
      </w:r>
    </w:p>
  </w:footnote>
  <w:footnote w:id="1">
    <w:p w14:paraId="4AD11E1A" w14:textId="09E634E7" w:rsidR="00B53FC7" w:rsidRPr="0079321B" w:rsidRDefault="00B53FC7">
      <w:pPr>
        <w:pStyle w:val="FootnoteText"/>
        <w:rPr>
          <w:rFonts w:asciiTheme="majorHAnsi" w:hAnsiTheme="majorHAnsi"/>
          <w:sz w:val="18"/>
          <w:szCs w:val="18"/>
          <w:lang w:val="en-US"/>
        </w:rPr>
      </w:pPr>
      <w:r w:rsidRPr="0079321B">
        <w:rPr>
          <w:rStyle w:val="FootnoteReference"/>
          <w:rFonts w:asciiTheme="majorHAnsi" w:hAnsiTheme="majorHAnsi"/>
          <w:sz w:val="18"/>
          <w:szCs w:val="18"/>
        </w:rPr>
        <w:footnoteRef/>
      </w:r>
      <w:r w:rsidRPr="0079321B">
        <w:rPr>
          <w:rFonts w:asciiTheme="majorHAnsi" w:hAnsiTheme="majorHAnsi"/>
          <w:sz w:val="18"/>
          <w:szCs w:val="18"/>
        </w:rPr>
        <w:t xml:space="preserve"> </w:t>
      </w:r>
      <w:r w:rsidRPr="0079321B">
        <w:rPr>
          <w:rFonts w:asciiTheme="majorHAnsi" w:hAnsiTheme="majorHAnsi"/>
          <w:sz w:val="18"/>
          <w:szCs w:val="18"/>
          <w:lang w:val="en-US"/>
        </w:rPr>
        <w:t>This analysis benefitted greatly from the training manual developed by M</w:t>
      </w:r>
      <w:r>
        <w:rPr>
          <w:rFonts w:asciiTheme="majorHAnsi" w:hAnsiTheme="majorHAnsi"/>
          <w:sz w:val="18"/>
          <w:szCs w:val="18"/>
          <w:lang w:val="en-US"/>
        </w:rPr>
        <w:t xml:space="preserve">edia Legal Defense Initiative, </w:t>
      </w:r>
      <w:r w:rsidRPr="00DD71E1">
        <w:rPr>
          <w:rFonts w:asciiTheme="majorHAnsi" w:hAnsiTheme="majorHAnsi"/>
          <w:b/>
          <w:sz w:val="18"/>
          <w:szCs w:val="18"/>
          <w:lang w:val="en-US"/>
        </w:rPr>
        <w:t>Training Manual on international and comparative media law and freedom of expression</w:t>
      </w:r>
      <w:r>
        <w:rPr>
          <w:rFonts w:asciiTheme="majorHAnsi" w:hAnsiTheme="majorHAnsi"/>
          <w:sz w:val="18"/>
          <w:szCs w:val="18"/>
          <w:lang w:val="en-US"/>
        </w:rPr>
        <w:t>, London, December 2014</w:t>
      </w:r>
    </w:p>
  </w:footnote>
  <w:footnote w:id="2">
    <w:p w14:paraId="21E06B04" w14:textId="56FCB9A9" w:rsidR="00B53FC7" w:rsidRPr="007716E9" w:rsidRDefault="00B53FC7">
      <w:pPr>
        <w:pStyle w:val="FootnoteText"/>
        <w:rPr>
          <w:rFonts w:asciiTheme="majorHAnsi" w:hAnsiTheme="majorHAnsi"/>
          <w:sz w:val="18"/>
          <w:szCs w:val="18"/>
          <w:lang w:val="en-US"/>
        </w:rPr>
      </w:pPr>
      <w:r w:rsidRPr="007716E9">
        <w:rPr>
          <w:rStyle w:val="FootnoteReference"/>
          <w:rFonts w:asciiTheme="majorHAnsi" w:hAnsiTheme="majorHAnsi"/>
          <w:sz w:val="18"/>
          <w:szCs w:val="18"/>
        </w:rPr>
        <w:footnoteRef/>
      </w:r>
      <w:r w:rsidRPr="007716E9">
        <w:rPr>
          <w:rFonts w:asciiTheme="majorHAnsi" w:hAnsiTheme="majorHAnsi"/>
          <w:sz w:val="18"/>
          <w:szCs w:val="18"/>
        </w:rPr>
        <w:t xml:space="preserve"> </w:t>
      </w:r>
      <w:r w:rsidRPr="007716E9">
        <w:rPr>
          <w:rFonts w:asciiTheme="majorHAnsi" w:hAnsiTheme="majorHAnsi" w:cs="Verdana"/>
          <w:color w:val="171717"/>
          <w:sz w:val="18"/>
          <w:szCs w:val="18"/>
        </w:rPr>
        <w:t xml:space="preserve">There are many examples throughout the world of the </w:t>
      </w:r>
      <w:proofErr w:type="gramStart"/>
      <w:r w:rsidRPr="007716E9">
        <w:rPr>
          <w:rFonts w:asciiTheme="majorHAnsi" w:hAnsiTheme="majorHAnsi" w:cs="Verdana"/>
          <w:color w:val="171717"/>
          <w:sz w:val="18"/>
          <w:szCs w:val="18"/>
        </w:rPr>
        <w:t>Judicial</w:t>
      </w:r>
      <w:proofErr w:type="gramEnd"/>
      <w:r w:rsidRPr="007716E9">
        <w:rPr>
          <w:rFonts w:asciiTheme="majorHAnsi" w:hAnsiTheme="majorHAnsi" w:cs="Verdana"/>
          <w:color w:val="171717"/>
          <w:sz w:val="18"/>
          <w:szCs w:val="18"/>
        </w:rPr>
        <w:t xml:space="preserve"> sector</w:t>
      </w:r>
      <w:r w:rsidRPr="007716E9">
        <w:rPr>
          <w:rFonts w:asciiTheme="majorHAnsi" w:hAnsiTheme="majorHAnsi" w:cs="Arial"/>
          <w:sz w:val="18"/>
          <w:szCs w:val="18"/>
        </w:rPr>
        <w:t xml:space="preserve"> refusing to accept unquestioningly emergency or other legislation justified by reference to the threat from terrorism.</w:t>
      </w:r>
    </w:p>
  </w:footnote>
  <w:footnote w:id="3">
    <w:p w14:paraId="1C750E17" w14:textId="4D93AD14" w:rsidR="00B53FC7" w:rsidRPr="00F43897" w:rsidRDefault="00B53FC7" w:rsidP="0079321B">
      <w:pPr>
        <w:widowControl w:val="0"/>
        <w:autoSpaceDE w:val="0"/>
        <w:autoSpaceDN w:val="0"/>
        <w:adjustRightInd w:val="0"/>
        <w:rPr>
          <w:rFonts w:asciiTheme="majorHAnsi" w:hAnsiTheme="majorHAnsi"/>
          <w:sz w:val="18"/>
          <w:szCs w:val="18"/>
        </w:rPr>
      </w:pPr>
      <w:r>
        <w:rPr>
          <w:rStyle w:val="FootnoteReference"/>
        </w:rPr>
        <w:footnoteRef/>
      </w:r>
      <w:r>
        <w:t xml:space="preserve"> </w:t>
      </w:r>
      <w:r w:rsidRPr="00F43897">
        <w:rPr>
          <w:rFonts w:asciiTheme="majorHAnsi" w:hAnsiTheme="majorHAnsi" w:cs="Arial"/>
          <w:bCs/>
          <w:sz w:val="18"/>
          <w:szCs w:val="18"/>
        </w:rPr>
        <w:t xml:space="preserve">The Hon John Von </w:t>
      </w:r>
      <w:proofErr w:type="spellStart"/>
      <w:r w:rsidRPr="00F43897">
        <w:rPr>
          <w:rFonts w:asciiTheme="majorHAnsi" w:hAnsiTheme="majorHAnsi" w:cs="Arial"/>
          <w:bCs/>
          <w:sz w:val="18"/>
          <w:szCs w:val="18"/>
        </w:rPr>
        <w:t>Doussa</w:t>
      </w:r>
      <w:proofErr w:type="spellEnd"/>
      <w:r w:rsidRPr="00F43897">
        <w:rPr>
          <w:rFonts w:asciiTheme="majorHAnsi" w:hAnsiTheme="majorHAnsi" w:cs="Arial"/>
          <w:bCs/>
          <w:sz w:val="18"/>
          <w:szCs w:val="18"/>
        </w:rPr>
        <w:t xml:space="preserve"> QC, President Human Rights and Equal Opportunity Commission, </w:t>
      </w:r>
      <w:r w:rsidRPr="00F43897">
        <w:rPr>
          <w:rFonts w:asciiTheme="majorHAnsi" w:hAnsiTheme="majorHAnsi" w:cs="Arial"/>
          <w:bCs/>
          <w:iCs/>
          <w:sz w:val="18"/>
          <w:szCs w:val="18"/>
        </w:rPr>
        <w:t>I</w:t>
      </w:r>
      <w:r>
        <w:rPr>
          <w:rFonts w:asciiTheme="majorHAnsi" w:hAnsiTheme="majorHAnsi" w:cs="Arial"/>
          <w:bCs/>
          <w:iCs/>
          <w:sz w:val="18"/>
          <w:szCs w:val="18"/>
        </w:rPr>
        <w:t xml:space="preserve">nternational Conference on Terrorism, Human Security and Development: Human Rights Perspectives, City University of Hong Kong, </w:t>
      </w:r>
      <w:r w:rsidRPr="00CA2083">
        <w:rPr>
          <w:rFonts w:asciiTheme="majorHAnsi" w:hAnsiTheme="majorHAnsi" w:cs="Arial"/>
          <w:bCs/>
          <w:iCs/>
          <w:sz w:val="18"/>
          <w:szCs w:val="18"/>
        </w:rPr>
        <w:t>16-17 October 2007</w:t>
      </w:r>
      <w:r>
        <w:rPr>
          <w:rFonts w:asciiTheme="majorHAnsi" w:hAnsiTheme="majorHAnsi" w:cs="Arial"/>
          <w:bCs/>
          <w:iCs/>
          <w:sz w:val="18"/>
          <w:szCs w:val="18"/>
        </w:rPr>
        <w:t>,</w:t>
      </w:r>
    </w:p>
  </w:footnote>
  <w:footnote w:id="4">
    <w:p w14:paraId="64701372" w14:textId="02DD4EF2" w:rsidR="00B53FC7" w:rsidRPr="00F43897" w:rsidRDefault="00B53FC7" w:rsidP="0079321B">
      <w:pPr>
        <w:widowControl w:val="0"/>
        <w:autoSpaceDE w:val="0"/>
        <w:autoSpaceDN w:val="0"/>
        <w:adjustRightInd w:val="0"/>
        <w:rPr>
          <w:rFonts w:asciiTheme="majorHAnsi" w:hAnsiTheme="majorHAnsi"/>
          <w:sz w:val="18"/>
          <w:szCs w:val="18"/>
        </w:rPr>
      </w:pPr>
      <w:r w:rsidRPr="00F43897">
        <w:rPr>
          <w:rStyle w:val="FootnoteReference"/>
          <w:rFonts w:asciiTheme="majorHAnsi" w:hAnsiTheme="majorHAnsi"/>
          <w:sz w:val="18"/>
          <w:szCs w:val="18"/>
        </w:rPr>
        <w:footnoteRef/>
      </w:r>
      <w:r w:rsidRPr="00F43897">
        <w:rPr>
          <w:rFonts w:asciiTheme="majorHAnsi" w:hAnsiTheme="majorHAnsi"/>
          <w:sz w:val="18"/>
          <w:szCs w:val="18"/>
        </w:rPr>
        <w:t xml:space="preserve"> </w:t>
      </w:r>
      <w:r w:rsidRPr="00F43897">
        <w:rPr>
          <w:rFonts w:asciiTheme="majorHAnsi" w:hAnsiTheme="majorHAnsi" w:cs="Arial"/>
          <w:sz w:val="18"/>
          <w:szCs w:val="18"/>
        </w:rPr>
        <w:t xml:space="preserve">RT Hon Lord Falconer of </w:t>
      </w:r>
      <w:proofErr w:type="spellStart"/>
      <w:r w:rsidRPr="00F43897">
        <w:rPr>
          <w:rFonts w:asciiTheme="majorHAnsi" w:hAnsiTheme="majorHAnsi" w:cs="Arial"/>
          <w:sz w:val="18"/>
          <w:szCs w:val="18"/>
        </w:rPr>
        <w:t>Thoroton</w:t>
      </w:r>
      <w:proofErr w:type="spellEnd"/>
      <w:r w:rsidRPr="00F43897">
        <w:rPr>
          <w:rFonts w:asciiTheme="majorHAnsi" w:hAnsiTheme="majorHAnsi" w:cs="Arial"/>
          <w:sz w:val="18"/>
          <w:szCs w:val="18"/>
        </w:rPr>
        <w:t xml:space="preserve"> - Lord Chancellor and Secretary of State for Constitutional Affairs, ‘The role of judges in a modern democracy’, the Magna Cart Lecture, Sydney, 13 September 2006</w:t>
      </w:r>
      <w:r>
        <w:rPr>
          <w:rFonts w:asciiTheme="majorHAnsi" w:hAnsiTheme="majorHAnsi" w:cs="Arial"/>
          <w:sz w:val="18"/>
          <w:szCs w:val="18"/>
        </w:rPr>
        <w:t xml:space="preserve">, cited by </w:t>
      </w:r>
      <w:r w:rsidRPr="00F43897">
        <w:rPr>
          <w:rFonts w:asciiTheme="majorHAnsi" w:hAnsiTheme="majorHAnsi" w:cs="Arial"/>
          <w:bCs/>
          <w:sz w:val="18"/>
          <w:szCs w:val="18"/>
        </w:rPr>
        <w:t xml:space="preserve">The Hon John Von </w:t>
      </w:r>
      <w:proofErr w:type="spellStart"/>
      <w:r w:rsidRPr="00F43897">
        <w:rPr>
          <w:rFonts w:asciiTheme="majorHAnsi" w:hAnsiTheme="majorHAnsi" w:cs="Arial"/>
          <w:bCs/>
          <w:sz w:val="18"/>
          <w:szCs w:val="18"/>
        </w:rPr>
        <w:t>Doussa</w:t>
      </w:r>
      <w:proofErr w:type="spellEnd"/>
      <w:r w:rsidRPr="00F43897">
        <w:rPr>
          <w:rFonts w:asciiTheme="majorHAnsi" w:hAnsiTheme="majorHAnsi" w:cs="Arial"/>
          <w:bCs/>
          <w:sz w:val="18"/>
          <w:szCs w:val="18"/>
        </w:rPr>
        <w:t xml:space="preserve"> QC, </w:t>
      </w:r>
      <w:proofErr w:type="spellStart"/>
      <w:r>
        <w:rPr>
          <w:rFonts w:asciiTheme="majorHAnsi" w:hAnsiTheme="majorHAnsi" w:cs="Arial"/>
          <w:bCs/>
          <w:sz w:val="18"/>
          <w:szCs w:val="18"/>
        </w:rPr>
        <w:t>Op.cit</w:t>
      </w:r>
      <w:proofErr w:type="spellEnd"/>
      <w:r>
        <w:rPr>
          <w:rFonts w:asciiTheme="majorHAnsi" w:hAnsiTheme="majorHAnsi" w:cs="Arial"/>
          <w:bCs/>
          <w:sz w:val="18"/>
          <w:szCs w:val="18"/>
        </w:rPr>
        <w:t xml:space="preserve">. </w:t>
      </w:r>
    </w:p>
  </w:footnote>
  <w:footnote w:id="5">
    <w:p w14:paraId="4A7AB614" w14:textId="120DA7DB" w:rsidR="00B53FC7" w:rsidRPr="00F43897" w:rsidRDefault="00B53FC7" w:rsidP="0079321B">
      <w:pPr>
        <w:widowControl w:val="0"/>
        <w:autoSpaceDE w:val="0"/>
        <w:autoSpaceDN w:val="0"/>
        <w:adjustRightInd w:val="0"/>
        <w:rPr>
          <w:rFonts w:asciiTheme="majorHAnsi" w:hAnsiTheme="majorHAnsi"/>
          <w:sz w:val="18"/>
          <w:szCs w:val="18"/>
        </w:rPr>
      </w:pPr>
      <w:r>
        <w:rPr>
          <w:rStyle w:val="FootnoteReference"/>
        </w:rPr>
        <w:footnoteRef/>
      </w:r>
      <w:r>
        <w:t xml:space="preserve"> </w:t>
      </w:r>
      <w:r w:rsidRPr="00F43897">
        <w:rPr>
          <w:rFonts w:asciiTheme="majorHAnsi" w:hAnsiTheme="majorHAnsi" w:cs="Arial"/>
          <w:bCs/>
          <w:sz w:val="18"/>
          <w:szCs w:val="18"/>
        </w:rPr>
        <w:t xml:space="preserve">The Hon John Von </w:t>
      </w:r>
      <w:proofErr w:type="spellStart"/>
      <w:r w:rsidRPr="00F43897">
        <w:rPr>
          <w:rFonts w:asciiTheme="majorHAnsi" w:hAnsiTheme="majorHAnsi" w:cs="Arial"/>
          <w:bCs/>
          <w:sz w:val="18"/>
          <w:szCs w:val="18"/>
        </w:rPr>
        <w:t>Doussa</w:t>
      </w:r>
      <w:proofErr w:type="spellEnd"/>
      <w:r w:rsidRPr="00F43897">
        <w:rPr>
          <w:rFonts w:asciiTheme="majorHAnsi" w:hAnsiTheme="majorHAnsi" w:cs="Arial"/>
          <w:bCs/>
          <w:sz w:val="18"/>
          <w:szCs w:val="18"/>
        </w:rPr>
        <w:t xml:space="preserve"> QC, </w:t>
      </w:r>
      <w:r>
        <w:rPr>
          <w:rFonts w:asciiTheme="majorHAnsi" w:hAnsiTheme="majorHAnsi" w:cs="Arial"/>
          <w:bCs/>
          <w:sz w:val="18"/>
          <w:szCs w:val="18"/>
        </w:rPr>
        <w:t xml:space="preserve">Op. cit. </w:t>
      </w:r>
    </w:p>
    <w:p w14:paraId="7E610890" w14:textId="6FA28FF8" w:rsidR="00B53FC7" w:rsidRPr="00F43897" w:rsidRDefault="00B53FC7">
      <w:pPr>
        <w:pStyle w:val="FootnoteText"/>
        <w:rPr>
          <w:lang w:val="en-US"/>
        </w:rPr>
      </w:pPr>
    </w:p>
  </w:footnote>
  <w:footnote w:id="6">
    <w:p w14:paraId="76A5EABD" w14:textId="2CF8CF3A" w:rsidR="00B53FC7" w:rsidRPr="00DD71E1" w:rsidRDefault="00B53FC7">
      <w:pPr>
        <w:pStyle w:val="FootnoteText"/>
        <w:rPr>
          <w:rFonts w:asciiTheme="majorHAnsi" w:hAnsiTheme="majorHAnsi"/>
          <w:sz w:val="18"/>
          <w:szCs w:val="18"/>
          <w:lang w:val="en-US"/>
        </w:rPr>
      </w:pPr>
      <w:r w:rsidRPr="00DD71E1">
        <w:rPr>
          <w:rStyle w:val="FootnoteReference"/>
          <w:rFonts w:asciiTheme="majorHAnsi" w:hAnsiTheme="majorHAnsi"/>
          <w:sz w:val="18"/>
          <w:szCs w:val="18"/>
        </w:rPr>
        <w:footnoteRef/>
      </w:r>
      <w:r w:rsidRPr="00DD71E1">
        <w:rPr>
          <w:rFonts w:asciiTheme="majorHAnsi" w:hAnsiTheme="majorHAnsi"/>
          <w:sz w:val="18"/>
          <w:szCs w:val="18"/>
        </w:rPr>
        <w:t xml:space="preserve"> </w:t>
      </w:r>
      <w:r w:rsidRPr="00DD71E1">
        <w:rPr>
          <w:rFonts w:asciiTheme="majorHAnsi" w:hAnsiTheme="majorHAnsi"/>
          <w:sz w:val="18"/>
          <w:szCs w:val="18"/>
          <w:lang w:val="en-US"/>
        </w:rPr>
        <w:t>See as well MLDI, Op. Cit., December 2014</w:t>
      </w:r>
    </w:p>
  </w:footnote>
  <w:footnote w:id="7">
    <w:p w14:paraId="306FE898" w14:textId="71D6360D" w:rsidR="00B53FC7" w:rsidRDefault="00B53FC7" w:rsidP="0079321B">
      <w:pPr>
        <w:widowControl w:val="0"/>
        <w:autoSpaceDE w:val="0"/>
        <w:autoSpaceDN w:val="0"/>
        <w:adjustRightInd w:val="0"/>
        <w:rPr>
          <w:rFonts w:asciiTheme="majorHAnsi" w:hAnsiTheme="majorHAnsi" w:cs="Arial"/>
          <w:bCs/>
          <w:iCs/>
          <w:sz w:val="18"/>
          <w:szCs w:val="18"/>
        </w:rPr>
      </w:pPr>
      <w:r w:rsidRPr="00DD71E1">
        <w:rPr>
          <w:rStyle w:val="FootnoteReference"/>
          <w:rFonts w:asciiTheme="majorHAnsi" w:hAnsiTheme="majorHAnsi"/>
          <w:sz w:val="18"/>
          <w:szCs w:val="18"/>
        </w:rPr>
        <w:footnoteRef/>
      </w:r>
      <w:r w:rsidRPr="00DD71E1">
        <w:rPr>
          <w:rFonts w:asciiTheme="majorHAnsi" w:hAnsiTheme="majorHAnsi"/>
          <w:sz w:val="18"/>
          <w:szCs w:val="18"/>
        </w:rPr>
        <w:t xml:space="preserve"> </w:t>
      </w:r>
      <w:proofErr w:type="gramStart"/>
      <w:r>
        <w:rPr>
          <w:rFonts w:asciiTheme="majorHAnsi" w:hAnsiTheme="majorHAnsi"/>
          <w:sz w:val="18"/>
          <w:szCs w:val="18"/>
        </w:rPr>
        <w:t xml:space="preserve">This was developed by </w:t>
      </w:r>
      <w:r w:rsidRPr="00DD71E1">
        <w:rPr>
          <w:rFonts w:asciiTheme="majorHAnsi" w:hAnsiTheme="majorHAnsi" w:cs="Arial"/>
          <w:bCs/>
          <w:color w:val="535353"/>
          <w:sz w:val="18"/>
          <w:szCs w:val="18"/>
        </w:rPr>
        <w:t xml:space="preserve">The Hon John Von </w:t>
      </w:r>
      <w:proofErr w:type="spellStart"/>
      <w:r w:rsidRPr="00DD71E1">
        <w:rPr>
          <w:rFonts w:asciiTheme="majorHAnsi" w:hAnsiTheme="majorHAnsi" w:cs="Arial"/>
          <w:bCs/>
          <w:color w:val="535353"/>
          <w:sz w:val="18"/>
          <w:szCs w:val="18"/>
        </w:rPr>
        <w:t>Doussa</w:t>
      </w:r>
      <w:proofErr w:type="spellEnd"/>
      <w:r w:rsidRPr="00DD71E1">
        <w:rPr>
          <w:rFonts w:asciiTheme="majorHAnsi" w:hAnsiTheme="majorHAnsi" w:cs="Arial"/>
          <w:bCs/>
          <w:color w:val="535353"/>
          <w:sz w:val="18"/>
          <w:szCs w:val="18"/>
        </w:rPr>
        <w:t xml:space="preserve"> QC, President Human Rights and</w:t>
      </w:r>
      <w:r w:rsidRPr="00CA2083">
        <w:rPr>
          <w:rFonts w:asciiTheme="majorHAnsi" w:hAnsiTheme="majorHAnsi" w:cs="Arial"/>
          <w:bCs/>
          <w:color w:val="535353"/>
          <w:sz w:val="18"/>
          <w:szCs w:val="18"/>
        </w:rPr>
        <w:t xml:space="preserve"> Equal Opportunity Commission, </w:t>
      </w:r>
      <w:proofErr w:type="spellStart"/>
      <w:r>
        <w:rPr>
          <w:rFonts w:asciiTheme="majorHAnsi" w:hAnsiTheme="majorHAnsi" w:cs="Arial"/>
          <w:bCs/>
          <w:color w:val="535353"/>
          <w:sz w:val="18"/>
          <w:szCs w:val="18"/>
        </w:rPr>
        <w:t>Op.cit</w:t>
      </w:r>
      <w:proofErr w:type="spellEnd"/>
      <w:proofErr w:type="gramEnd"/>
      <w:r>
        <w:rPr>
          <w:rFonts w:asciiTheme="majorHAnsi" w:hAnsiTheme="majorHAnsi" w:cs="Arial"/>
          <w:bCs/>
          <w:color w:val="535353"/>
          <w:sz w:val="18"/>
          <w:szCs w:val="18"/>
        </w:rPr>
        <w:t>.</w:t>
      </w:r>
    </w:p>
    <w:p w14:paraId="11BFD0B4" w14:textId="06A51F07" w:rsidR="00B53FC7" w:rsidRPr="00CA2083" w:rsidRDefault="00B53FC7" w:rsidP="00CA2083">
      <w:pPr>
        <w:widowControl w:val="0"/>
        <w:autoSpaceDE w:val="0"/>
        <w:autoSpaceDN w:val="0"/>
        <w:adjustRightInd w:val="0"/>
        <w:rPr>
          <w:rFonts w:asciiTheme="majorHAnsi" w:hAnsiTheme="majorHAnsi" w:cs="Arial"/>
          <w:bCs/>
          <w:iCs/>
          <w:sz w:val="18"/>
          <w:szCs w:val="18"/>
        </w:rPr>
      </w:pPr>
      <w:r>
        <w:rPr>
          <w:rFonts w:asciiTheme="majorHAnsi" w:hAnsiTheme="majorHAnsi" w:cs="Arial"/>
          <w:bCs/>
          <w:iCs/>
          <w:sz w:val="18"/>
          <w:szCs w:val="18"/>
        </w:rPr>
        <w:t xml:space="preserve"> </w:t>
      </w:r>
      <w:r w:rsidRPr="00CA2083">
        <w:rPr>
          <w:rFonts w:asciiTheme="majorHAnsi" w:hAnsiTheme="majorHAnsi" w:cs="Arial"/>
          <w:bCs/>
          <w:iCs/>
          <w:sz w:val="18"/>
          <w:szCs w:val="18"/>
        </w:rPr>
        <w:t>https://www.humanrights.gov.au/news/speeches/incorporating-human-rights-principles-national-security-measures#endnote6</w:t>
      </w:r>
    </w:p>
  </w:footnote>
  <w:footnote w:id="8">
    <w:p w14:paraId="12F23A44" w14:textId="41E478CD" w:rsidR="00B53FC7" w:rsidRPr="00CA2083" w:rsidRDefault="00B53FC7">
      <w:pPr>
        <w:pStyle w:val="FootnoteText"/>
        <w:rPr>
          <w:rFonts w:asciiTheme="majorHAnsi" w:hAnsiTheme="majorHAnsi"/>
          <w:sz w:val="18"/>
          <w:szCs w:val="18"/>
          <w:lang w:val="en-US"/>
        </w:rPr>
      </w:pPr>
      <w:r w:rsidRPr="00CA2083">
        <w:rPr>
          <w:rStyle w:val="FootnoteReference"/>
          <w:rFonts w:asciiTheme="majorHAnsi" w:hAnsiTheme="majorHAnsi"/>
          <w:sz w:val="18"/>
          <w:szCs w:val="18"/>
        </w:rPr>
        <w:footnoteRef/>
      </w:r>
      <w:r w:rsidRPr="00CA2083">
        <w:rPr>
          <w:rFonts w:asciiTheme="majorHAnsi" w:hAnsiTheme="majorHAnsi"/>
          <w:sz w:val="18"/>
          <w:szCs w:val="18"/>
        </w:rPr>
        <w:t xml:space="preserve"> </w:t>
      </w:r>
      <w:r w:rsidRPr="00CA2083">
        <w:rPr>
          <w:rFonts w:asciiTheme="majorHAnsi" w:hAnsiTheme="majorHAnsi" w:cs="Arial"/>
          <w:sz w:val="18"/>
          <w:szCs w:val="18"/>
        </w:rPr>
        <w:t xml:space="preserve">Human Rights Committee, </w:t>
      </w:r>
      <w:r w:rsidRPr="00CA2083">
        <w:rPr>
          <w:rFonts w:asciiTheme="majorHAnsi" w:hAnsiTheme="majorHAnsi" w:cs="Arial"/>
          <w:i/>
          <w:iCs/>
          <w:sz w:val="18"/>
          <w:szCs w:val="18"/>
        </w:rPr>
        <w:t>General Comment No. 29: States of Emergency (Article 4)</w:t>
      </w:r>
      <w:r w:rsidRPr="00CA2083">
        <w:rPr>
          <w:rFonts w:asciiTheme="majorHAnsi" w:hAnsiTheme="majorHAnsi" w:cs="Arial"/>
          <w:sz w:val="18"/>
          <w:szCs w:val="18"/>
        </w:rPr>
        <w:t>, 31 August 2001, 16</w:t>
      </w:r>
      <w:proofErr w:type="gramStart"/>
      <w:r w:rsidRPr="00CA2083">
        <w:rPr>
          <w:rFonts w:asciiTheme="majorHAnsi" w:hAnsiTheme="majorHAnsi" w:cs="Arial"/>
          <w:sz w:val="18"/>
          <w:szCs w:val="18"/>
        </w:rPr>
        <w:t>.</w:t>
      </w:r>
      <w:r>
        <w:rPr>
          <w:rFonts w:asciiTheme="majorHAnsi" w:hAnsiTheme="majorHAnsi" w:cs="Arial"/>
          <w:sz w:val="18"/>
          <w:szCs w:val="18"/>
        </w:rPr>
        <w:t>,</w:t>
      </w:r>
      <w:proofErr w:type="gramEnd"/>
      <w:r>
        <w:rPr>
          <w:rFonts w:asciiTheme="majorHAnsi" w:hAnsiTheme="majorHAnsi" w:cs="Arial"/>
          <w:sz w:val="18"/>
          <w:szCs w:val="18"/>
        </w:rPr>
        <w:t xml:space="preserve"> quoted in Von </w:t>
      </w:r>
      <w:proofErr w:type="spellStart"/>
      <w:r>
        <w:rPr>
          <w:rFonts w:asciiTheme="majorHAnsi" w:hAnsiTheme="majorHAnsi" w:cs="Arial"/>
          <w:sz w:val="18"/>
          <w:szCs w:val="18"/>
        </w:rPr>
        <w:t>Doussa</w:t>
      </w:r>
      <w:proofErr w:type="spellEnd"/>
      <w:r>
        <w:rPr>
          <w:rFonts w:asciiTheme="majorHAnsi" w:hAnsiTheme="majorHAnsi" w:cs="Arial"/>
          <w:sz w:val="18"/>
          <w:szCs w:val="18"/>
        </w:rPr>
        <w:t xml:space="preserve">, </w:t>
      </w:r>
      <w:proofErr w:type="spellStart"/>
      <w:r>
        <w:rPr>
          <w:rFonts w:asciiTheme="majorHAnsi" w:hAnsiTheme="majorHAnsi" w:cs="Arial"/>
          <w:sz w:val="18"/>
          <w:szCs w:val="18"/>
        </w:rPr>
        <w:t>Op.cit</w:t>
      </w:r>
      <w:proofErr w:type="spellEnd"/>
      <w:r>
        <w:rPr>
          <w:rFonts w:asciiTheme="majorHAnsi" w:hAnsiTheme="majorHAnsi" w:cs="Arial"/>
          <w:sz w:val="18"/>
          <w:szCs w:val="18"/>
        </w:rPr>
        <w:t xml:space="preserve">. </w:t>
      </w:r>
    </w:p>
  </w:footnote>
  <w:footnote w:id="9">
    <w:p w14:paraId="794FDCED" w14:textId="61FD9775" w:rsidR="00B53FC7" w:rsidRPr="00CA2083" w:rsidRDefault="00B53FC7">
      <w:pPr>
        <w:pStyle w:val="FootnoteText"/>
        <w:rPr>
          <w:rFonts w:asciiTheme="majorHAnsi" w:hAnsiTheme="majorHAnsi"/>
          <w:sz w:val="18"/>
          <w:szCs w:val="18"/>
          <w:lang w:val="en-US"/>
        </w:rPr>
      </w:pPr>
      <w:r w:rsidRPr="00CA2083">
        <w:rPr>
          <w:rStyle w:val="FootnoteReference"/>
          <w:rFonts w:asciiTheme="majorHAnsi" w:hAnsiTheme="majorHAnsi"/>
          <w:sz w:val="18"/>
          <w:szCs w:val="18"/>
        </w:rPr>
        <w:footnoteRef/>
      </w:r>
      <w:r w:rsidRPr="00CA2083">
        <w:rPr>
          <w:rFonts w:asciiTheme="majorHAnsi" w:hAnsiTheme="majorHAnsi"/>
          <w:sz w:val="18"/>
          <w:szCs w:val="18"/>
        </w:rPr>
        <w:t xml:space="preserve"> </w:t>
      </w:r>
      <w:proofErr w:type="spellStart"/>
      <w:r w:rsidRPr="00CA2083">
        <w:rPr>
          <w:rFonts w:asciiTheme="majorHAnsi" w:hAnsiTheme="majorHAnsi" w:cs="Arial"/>
          <w:i/>
          <w:iCs/>
          <w:sz w:val="18"/>
          <w:szCs w:val="18"/>
        </w:rPr>
        <w:t>Hamdan</w:t>
      </w:r>
      <w:proofErr w:type="spellEnd"/>
      <w:r w:rsidRPr="00CA2083">
        <w:rPr>
          <w:rFonts w:asciiTheme="majorHAnsi" w:hAnsiTheme="majorHAnsi" w:cs="Arial"/>
          <w:i/>
          <w:iCs/>
          <w:sz w:val="18"/>
          <w:szCs w:val="18"/>
        </w:rPr>
        <w:t xml:space="preserve"> v Rumsfeld</w:t>
      </w:r>
      <w:r>
        <w:rPr>
          <w:rFonts w:asciiTheme="majorHAnsi" w:hAnsiTheme="majorHAnsi" w:cs="Arial"/>
          <w:sz w:val="18"/>
          <w:szCs w:val="18"/>
        </w:rPr>
        <w:t xml:space="preserve">, 126 </w:t>
      </w:r>
      <w:proofErr w:type="spellStart"/>
      <w:r>
        <w:rPr>
          <w:rFonts w:asciiTheme="majorHAnsi" w:hAnsiTheme="majorHAnsi" w:cs="Arial"/>
          <w:sz w:val="18"/>
          <w:szCs w:val="18"/>
        </w:rPr>
        <w:t>S.Ct</w:t>
      </w:r>
      <w:proofErr w:type="spellEnd"/>
      <w:r>
        <w:rPr>
          <w:rFonts w:asciiTheme="majorHAnsi" w:hAnsiTheme="majorHAnsi" w:cs="Arial"/>
          <w:sz w:val="18"/>
          <w:szCs w:val="18"/>
        </w:rPr>
        <w:t xml:space="preserve"> 2749 (2006), quoted in Von </w:t>
      </w:r>
      <w:proofErr w:type="spellStart"/>
      <w:r>
        <w:rPr>
          <w:rFonts w:asciiTheme="majorHAnsi" w:hAnsiTheme="majorHAnsi" w:cs="Arial"/>
          <w:sz w:val="18"/>
          <w:szCs w:val="18"/>
        </w:rPr>
        <w:t>Doussa</w:t>
      </w:r>
      <w:proofErr w:type="spellEnd"/>
      <w:r>
        <w:rPr>
          <w:rFonts w:asciiTheme="majorHAnsi" w:hAnsiTheme="majorHAnsi" w:cs="Arial"/>
          <w:sz w:val="18"/>
          <w:szCs w:val="18"/>
        </w:rPr>
        <w:t xml:space="preserve">, </w:t>
      </w:r>
      <w:proofErr w:type="spellStart"/>
      <w:r>
        <w:rPr>
          <w:rFonts w:asciiTheme="majorHAnsi" w:hAnsiTheme="majorHAnsi" w:cs="Arial"/>
          <w:sz w:val="18"/>
          <w:szCs w:val="18"/>
        </w:rPr>
        <w:t>Op.cit</w:t>
      </w:r>
      <w:proofErr w:type="spellEnd"/>
      <w:r w:rsidRPr="00CA2083">
        <w:rPr>
          <w:rFonts w:asciiTheme="majorHAnsi" w:hAnsiTheme="majorHAnsi" w:cs="Arial"/>
          <w:sz w:val="18"/>
          <w:szCs w:val="18"/>
        </w:rPr>
        <w:t xml:space="preserve"> </w:t>
      </w:r>
    </w:p>
  </w:footnote>
  <w:footnote w:id="10">
    <w:p w14:paraId="499B89A4" w14:textId="31B26860" w:rsidR="00B53FC7" w:rsidRPr="00F93E8F" w:rsidRDefault="00B53FC7" w:rsidP="00F93E8F">
      <w:pPr>
        <w:jc w:val="both"/>
        <w:rPr>
          <w:rFonts w:asciiTheme="majorHAnsi" w:hAnsiTheme="majorHAnsi"/>
          <w:sz w:val="18"/>
          <w:szCs w:val="18"/>
        </w:rPr>
      </w:pPr>
      <w:r w:rsidRPr="00E22777">
        <w:rPr>
          <w:rStyle w:val="FootnoteReference"/>
          <w:rFonts w:asciiTheme="majorHAnsi" w:hAnsiTheme="majorHAnsi"/>
          <w:sz w:val="18"/>
          <w:szCs w:val="18"/>
        </w:rPr>
        <w:footnoteRef/>
      </w:r>
      <w:r w:rsidRPr="00E22777">
        <w:rPr>
          <w:rFonts w:asciiTheme="majorHAnsi" w:hAnsiTheme="majorHAnsi"/>
          <w:sz w:val="18"/>
          <w:szCs w:val="18"/>
        </w:rPr>
        <w:t xml:space="preserve"> Article 10(2) of the European Convention for Human Rights and Article 13(2)(b) of the African Charter for People’s and Human Rights also includes national security as legitimate grounds to restrict freedom of expression.  </w:t>
      </w:r>
      <w:r w:rsidRPr="00E22777">
        <w:rPr>
          <w:rFonts w:asciiTheme="majorHAnsi" w:hAnsiTheme="majorHAnsi"/>
          <w:i/>
          <w:sz w:val="18"/>
          <w:szCs w:val="18"/>
        </w:rPr>
        <w:t>“The African</w:t>
      </w:r>
      <w:r w:rsidRPr="00B17125">
        <w:rPr>
          <w:rFonts w:asciiTheme="majorHAnsi" w:hAnsiTheme="majorHAnsi"/>
          <w:i/>
          <w:sz w:val="18"/>
          <w:szCs w:val="18"/>
        </w:rPr>
        <w:t xml:space="preserve"> Charter has distinct wording, mentioning "security" twice, in Article 27(2) requiring rights to be exercised with regard to "collective security" and in Article 29(3), which sets out a duty not "to compromise the security of the State."</w:t>
      </w:r>
      <w:r w:rsidRPr="00B17125">
        <w:rPr>
          <w:rFonts w:asciiTheme="majorHAnsi" w:hAnsiTheme="majorHAnsi"/>
          <w:sz w:val="18"/>
          <w:szCs w:val="18"/>
        </w:rPr>
        <w:t xml:space="preserve"> </w:t>
      </w:r>
      <w:r>
        <w:rPr>
          <w:rFonts w:asciiTheme="majorHAnsi" w:hAnsiTheme="majorHAnsi"/>
          <w:sz w:val="18"/>
          <w:szCs w:val="18"/>
        </w:rPr>
        <w:t xml:space="preserve">In </w:t>
      </w:r>
      <w:r w:rsidRPr="00B17125">
        <w:rPr>
          <w:rFonts w:asciiTheme="majorHAnsi" w:hAnsiTheme="majorHAnsi"/>
          <w:sz w:val="18"/>
          <w:szCs w:val="18"/>
        </w:rPr>
        <w:t xml:space="preserve">MLDI, 2015 Training Manual </w:t>
      </w:r>
    </w:p>
  </w:footnote>
  <w:footnote w:id="11">
    <w:p w14:paraId="00E53C9E" w14:textId="77777777" w:rsidR="00B53FC7" w:rsidRPr="00913921" w:rsidRDefault="00B53FC7" w:rsidP="00C0089A">
      <w:pPr>
        <w:pStyle w:val="FootnoteText"/>
        <w:jc w:val="both"/>
        <w:rPr>
          <w:sz w:val="18"/>
          <w:szCs w:val="18"/>
          <w:lang w:val="en-US"/>
        </w:rPr>
      </w:pPr>
      <w:r w:rsidRPr="0079455F">
        <w:rPr>
          <w:rStyle w:val="FootnoteReference"/>
          <w:rFonts w:asciiTheme="majorHAnsi" w:hAnsiTheme="majorHAnsi"/>
          <w:sz w:val="18"/>
          <w:szCs w:val="18"/>
        </w:rPr>
        <w:footnoteRef/>
      </w:r>
      <w:r w:rsidRPr="0079455F">
        <w:rPr>
          <w:rFonts w:asciiTheme="majorHAnsi" w:hAnsiTheme="majorHAnsi"/>
          <w:sz w:val="18"/>
          <w:szCs w:val="18"/>
        </w:rPr>
        <w:t xml:space="preserve"> United Nations Economic and Social Council,</w:t>
      </w:r>
      <w:r w:rsidRPr="0079455F">
        <w:rPr>
          <w:rFonts w:asciiTheme="majorHAnsi" w:hAnsiTheme="majorHAnsi"/>
          <w:i/>
          <w:sz w:val="18"/>
          <w:szCs w:val="18"/>
        </w:rPr>
        <w:t xml:space="preserve"> </w:t>
      </w:r>
      <w:proofErr w:type="spellStart"/>
      <w:r w:rsidRPr="0079455F">
        <w:rPr>
          <w:rFonts w:asciiTheme="majorHAnsi" w:hAnsiTheme="majorHAnsi"/>
          <w:i/>
          <w:sz w:val="18"/>
          <w:szCs w:val="18"/>
        </w:rPr>
        <w:t>Siracusa</w:t>
      </w:r>
      <w:proofErr w:type="spellEnd"/>
      <w:r w:rsidRPr="0079455F">
        <w:rPr>
          <w:rFonts w:asciiTheme="majorHAnsi" w:hAnsiTheme="majorHAnsi"/>
          <w:i/>
          <w:sz w:val="18"/>
          <w:szCs w:val="18"/>
        </w:rPr>
        <w:t xml:space="preserve"> Principles on the Limitation and Derogation Provisions in the International</w:t>
      </w:r>
      <w:r w:rsidRPr="00913921">
        <w:rPr>
          <w:i/>
          <w:sz w:val="18"/>
          <w:szCs w:val="18"/>
        </w:rPr>
        <w:t xml:space="preserve"> Covenant on Civil and Political Rights</w:t>
      </w:r>
      <w:r w:rsidRPr="00913921">
        <w:rPr>
          <w:sz w:val="18"/>
          <w:szCs w:val="18"/>
        </w:rPr>
        <w:t xml:space="preserve">, UN Doc. No. E/CN.4/1985/4, Annex (1985), </w:t>
      </w:r>
      <w:proofErr w:type="gramStart"/>
      <w:r w:rsidRPr="00913921">
        <w:rPr>
          <w:sz w:val="18"/>
          <w:szCs w:val="18"/>
          <w:lang w:val="en-US"/>
        </w:rPr>
        <w:t>Principle</w:t>
      </w:r>
      <w:proofErr w:type="gramEnd"/>
      <w:r w:rsidRPr="00913921">
        <w:rPr>
          <w:sz w:val="18"/>
          <w:szCs w:val="18"/>
          <w:lang w:val="en-US"/>
        </w:rPr>
        <w:t xml:space="preserve"> 29.</w:t>
      </w:r>
    </w:p>
  </w:footnote>
  <w:footnote w:id="12">
    <w:p w14:paraId="5C60989B" w14:textId="50BB57E4" w:rsidR="00B53FC7" w:rsidRPr="005052F7" w:rsidRDefault="00B53FC7">
      <w:pPr>
        <w:pStyle w:val="FootnoteText"/>
        <w:rPr>
          <w:rFonts w:asciiTheme="majorHAnsi" w:hAnsiTheme="majorHAnsi"/>
          <w:sz w:val="18"/>
          <w:szCs w:val="18"/>
          <w:lang w:val="en-US"/>
        </w:rPr>
      </w:pPr>
      <w:r w:rsidRPr="001401D1">
        <w:rPr>
          <w:rStyle w:val="FootnoteReference"/>
          <w:rFonts w:asciiTheme="majorHAnsi" w:hAnsiTheme="majorHAnsi"/>
          <w:sz w:val="18"/>
          <w:szCs w:val="18"/>
        </w:rPr>
        <w:footnoteRef/>
      </w:r>
      <w:r w:rsidRPr="001401D1">
        <w:rPr>
          <w:rFonts w:asciiTheme="majorHAnsi" w:hAnsiTheme="majorHAnsi"/>
          <w:sz w:val="18"/>
          <w:szCs w:val="18"/>
        </w:rPr>
        <w:t xml:space="preserve"> Human Rights Committee, </w:t>
      </w:r>
      <w:r w:rsidRPr="001401D1">
        <w:rPr>
          <w:rFonts w:asciiTheme="majorHAnsi" w:hAnsiTheme="majorHAnsi"/>
          <w:sz w:val="18"/>
          <w:szCs w:val="18"/>
          <w:lang w:val="en-US"/>
        </w:rPr>
        <w:t>General Comment 34, Geneva, 11-29 July 2011, Par.30</w:t>
      </w:r>
      <w:r w:rsidRPr="005052F7">
        <w:rPr>
          <w:rFonts w:asciiTheme="majorHAnsi" w:hAnsiTheme="majorHAnsi"/>
          <w:sz w:val="18"/>
          <w:szCs w:val="18"/>
          <w:lang w:val="en-US"/>
        </w:rPr>
        <w:t xml:space="preserve"> </w:t>
      </w:r>
      <w:r w:rsidRPr="001401D1">
        <w:rPr>
          <w:rFonts w:asciiTheme="majorHAnsi" w:hAnsiTheme="majorHAnsi"/>
          <w:sz w:val="18"/>
          <w:szCs w:val="18"/>
          <w:lang w:val="en-US"/>
        </w:rPr>
        <w:t>http://www2.ohchr.org/english/bodies/hrc/docs/gc34.pdf</w:t>
      </w:r>
    </w:p>
  </w:footnote>
  <w:footnote w:id="13">
    <w:p w14:paraId="16FCF094" w14:textId="24154888" w:rsidR="00B53FC7" w:rsidRPr="00C0089A" w:rsidRDefault="00B53FC7" w:rsidP="00C0089A">
      <w:pPr>
        <w:pStyle w:val="FootnoteText"/>
        <w:jc w:val="both"/>
        <w:rPr>
          <w:rFonts w:asciiTheme="majorHAnsi" w:hAnsiTheme="majorHAnsi"/>
          <w:sz w:val="18"/>
          <w:szCs w:val="18"/>
          <w:lang w:val="en-US"/>
        </w:rPr>
      </w:pPr>
      <w:r w:rsidRPr="00C0089A">
        <w:rPr>
          <w:rStyle w:val="FootnoteReference"/>
          <w:rFonts w:asciiTheme="majorHAnsi" w:hAnsiTheme="majorHAnsi"/>
          <w:sz w:val="18"/>
          <w:szCs w:val="18"/>
        </w:rPr>
        <w:footnoteRef/>
      </w:r>
      <w:r w:rsidRPr="00C0089A">
        <w:rPr>
          <w:rFonts w:asciiTheme="majorHAnsi" w:hAnsiTheme="majorHAnsi"/>
          <w:sz w:val="18"/>
          <w:szCs w:val="18"/>
        </w:rPr>
        <w:t xml:space="preserve"> </w:t>
      </w:r>
      <w:proofErr w:type="spellStart"/>
      <w:r>
        <w:rPr>
          <w:rFonts w:asciiTheme="majorHAnsi" w:hAnsiTheme="majorHAnsi"/>
          <w:sz w:val="18"/>
          <w:szCs w:val="18"/>
        </w:rPr>
        <w:t>Siracua</w:t>
      </w:r>
      <w:proofErr w:type="spellEnd"/>
      <w:r>
        <w:rPr>
          <w:rFonts w:asciiTheme="majorHAnsi" w:hAnsiTheme="majorHAnsi"/>
          <w:sz w:val="18"/>
          <w:szCs w:val="18"/>
        </w:rPr>
        <w:t xml:space="preserve"> Principles, </w:t>
      </w:r>
      <w:proofErr w:type="spellStart"/>
      <w:r>
        <w:rPr>
          <w:rFonts w:asciiTheme="majorHAnsi" w:hAnsiTheme="majorHAnsi"/>
          <w:sz w:val="18"/>
          <w:szCs w:val="18"/>
        </w:rPr>
        <w:t>Op.cit</w:t>
      </w:r>
      <w:proofErr w:type="spellEnd"/>
      <w:proofErr w:type="gramStart"/>
      <w:r>
        <w:rPr>
          <w:rFonts w:asciiTheme="majorHAnsi" w:hAnsiTheme="majorHAnsi"/>
          <w:sz w:val="18"/>
          <w:szCs w:val="18"/>
        </w:rPr>
        <w:t>.,</w:t>
      </w:r>
      <w:proofErr w:type="gramEnd"/>
      <w:r>
        <w:rPr>
          <w:rFonts w:asciiTheme="majorHAnsi" w:hAnsiTheme="majorHAnsi"/>
          <w:sz w:val="18"/>
          <w:szCs w:val="18"/>
        </w:rPr>
        <w:t xml:space="preserve"> </w:t>
      </w:r>
      <w:r w:rsidRPr="00C0089A">
        <w:rPr>
          <w:rFonts w:asciiTheme="majorHAnsi" w:hAnsiTheme="majorHAnsi"/>
          <w:sz w:val="18"/>
          <w:szCs w:val="18"/>
          <w:lang w:val="en-US"/>
        </w:rPr>
        <w:t>Principle 30.</w:t>
      </w:r>
    </w:p>
  </w:footnote>
  <w:footnote w:id="14">
    <w:p w14:paraId="0A3B0D99" w14:textId="6A45D91B" w:rsidR="00B53FC7" w:rsidRPr="005052F7" w:rsidRDefault="00B53FC7">
      <w:pPr>
        <w:pStyle w:val="FootnoteText"/>
        <w:rPr>
          <w:rFonts w:asciiTheme="majorHAnsi" w:hAnsiTheme="majorHAnsi"/>
          <w:sz w:val="18"/>
          <w:szCs w:val="18"/>
          <w:lang w:val="en-US"/>
        </w:rPr>
      </w:pPr>
      <w:r w:rsidRPr="005052F7">
        <w:rPr>
          <w:rStyle w:val="FootnoteReference"/>
          <w:rFonts w:asciiTheme="majorHAnsi" w:hAnsiTheme="majorHAnsi"/>
          <w:sz w:val="18"/>
          <w:szCs w:val="18"/>
        </w:rPr>
        <w:footnoteRef/>
      </w:r>
      <w:r w:rsidRPr="005052F7">
        <w:rPr>
          <w:rFonts w:asciiTheme="majorHAnsi" w:hAnsiTheme="majorHAnsi"/>
          <w:sz w:val="18"/>
          <w:szCs w:val="18"/>
        </w:rPr>
        <w:t xml:space="preserve"> </w:t>
      </w:r>
      <w:r w:rsidRPr="005052F7">
        <w:rPr>
          <w:rFonts w:asciiTheme="majorHAnsi" w:hAnsiTheme="majorHAnsi"/>
          <w:sz w:val="18"/>
          <w:szCs w:val="18"/>
          <w:lang w:val="en-US"/>
        </w:rPr>
        <w:t>I</w:t>
      </w:r>
      <w:r>
        <w:rPr>
          <w:rFonts w:asciiTheme="majorHAnsi" w:hAnsiTheme="majorHAnsi"/>
          <w:sz w:val="18"/>
          <w:szCs w:val="18"/>
          <w:lang w:val="en-US"/>
        </w:rPr>
        <w:t>bid</w:t>
      </w:r>
      <w:r w:rsidRPr="005052F7">
        <w:rPr>
          <w:rFonts w:asciiTheme="majorHAnsi" w:hAnsiTheme="majorHAnsi"/>
          <w:sz w:val="18"/>
          <w:szCs w:val="18"/>
          <w:lang w:val="en-US"/>
        </w:rPr>
        <w:t>, Principle 31</w:t>
      </w:r>
    </w:p>
  </w:footnote>
  <w:footnote w:id="15">
    <w:p w14:paraId="6E681E90" w14:textId="25BD1119" w:rsidR="00B53FC7" w:rsidRPr="005052F7" w:rsidRDefault="00B53FC7">
      <w:pPr>
        <w:pStyle w:val="FootnoteText"/>
        <w:rPr>
          <w:rFonts w:asciiTheme="majorHAnsi" w:hAnsiTheme="majorHAnsi"/>
          <w:sz w:val="18"/>
          <w:szCs w:val="18"/>
          <w:lang w:val="en-US"/>
        </w:rPr>
      </w:pPr>
      <w:r w:rsidRPr="001401D1">
        <w:rPr>
          <w:rStyle w:val="FootnoteReference"/>
          <w:rFonts w:asciiTheme="majorHAnsi" w:hAnsiTheme="majorHAnsi"/>
          <w:sz w:val="18"/>
          <w:szCs w:val="18"/>
        </w:rPr>
        <w:footnoteRef/>
      </w:r>
      <w:r w:rsidRPr="001401D1">
        <w:rPr>
          <w:rFonts w:asciiTheme="majorHAnsi" w:hAnsiTheme="majorHAnsi"/>
          <w:sz w:val="18"/>
          <w:szCs w:val="18"/>
        </w:rPr>
        <w:t xml:space="preserve"> </w:t>
      </w:r>
      <w:r w:rsidRPr="001401D1">
        <w:rPr>
          <w:rFonts w:asciiTheme="majorHAnsi" w:hAnsiTheme="majorHAnsi"/>
          <w:sz w:val="18"/>
          <w:szCs w:val="18"/>
          <w:lang w:val="en-US"/>
        </w:rPr>
        <w:t>General Comment 34, Par.</w:t>
      </w:r>
      <w:r>
        <w:rPr>
          <w:rFonts w:asciiTheme="majorHAnsi" w:hAnsiTheme="majorHAnsi"/>
          <w:sz w:val="18"/>
          <w:szCs w:val="18"/>
          <w:lang w:val="en-US"/>
        </w:rPr>
        <w:t>35</w:t>
      </w:r>
      <w:r w:rsidRPr="005052F7">
        <w:rPr>
          <w:rFonts w:asciiTheme="majorHAnsi" w:hAnsiTheme="majorHAnsi"/>
          <w:sz w:val="18"/>
          <w:szCs w:val="18"/>
          <w:lang w:val="en-US"/>
        </w:rPr>
        <w:t xml:space="preserve"> </w:t>
      </w:r>
    </w:p>
  </w:footnote>
  <w:footnote w:id="16">
    <w:p w14:paraId="00307F57" w14:textId="6145B43C" w:rsidR="00B53FC7" w:rsidRPr="001401D1" w:rsidRDefault="00B53FC7">
      <w:pPr>
        <w:pStyle w:val="FootnoteText"/>
        <w:rPr>
          <w:rFonts w:asciiTheme="majorHAnsi" w:hAnsiTheme="majorHAnsi"/>
          <w:sz w:val="18"/>
          <w:szCs w:val="18"/>
          <w:lang w:val="en-US"/>
        </w:rPr>
      </w:pPr>
      <w:r w:rsidRPr="001401D1">
        <w:rPr>
          <w:rStyle w:val="FootnoteReference"/>
          <w:rFonts w:asciiTheme="majorHAnsi" w:hAnsiTheme="majorHAnsi"/>
          <w:sz w:val="18"/>
          <w:szCs w:val="18"/>
        </w:rPr>
        <w:footnoteRef/>
      </w:r>
      <w:r w:rsidRPr="001401D1">
        <w:rPr>
          <w:rFonts w:asciiTheme="majorHAnsi" w:hAnsiTheme="majorHAnsi"/>
          <w:sz w:val="18"/>
          <w:szCs w:val="18"/>
        </w:rPr>
        <w:t xml:space="preserve"> </w:t>
      </w:r>
      <w:r w:rsidRPr="001401D1">
        <w:rPr>
          <w:rFonts w:asciiTheme="majorHAnsi" w:hAnsiTheme="majorHAnsi"/>
          <w:sz w:val="18"/>
          <w:szCs w:val="18"/>
          <w:lang w:val="en-US"/>
        </w:rPr>
        <w:t xml:space="preserve">General Comment 34, Par. </w:t>
      </w:r>
      <w:r>
        <w:rPr>
          <w:rFonts w:asciiTheme="majorHAnsi" w:hAnsiTheme="majorHAnsi"/>
          <w:sz w:val="18"/>
          <w:szCs w:val="18"/>
          <w:lang w:val="en-US"/>
        </w:rPr>
        <w:t>45</w:t>
      </w:r>
    </w:p>
  </w:footnote>
  <w:footnote w:id="17">
    <w:p w14:paraId="6C40BB65" w14:textId="4A205EED" w:rsidR="00B53FC7" w:rsidRPr="005052F7" w:rsidRDefault="00B53FC7">
      <w:pPr>
        <w:pStyle w:val="FootnoteText"/>
        <w:rPr>
          <w:rFonts w:asciiTheme="majorHAnsi" w:hAnsiTheme="majorHAnsi"/>
          <w:sz w:val="18"/>
          <w:szCs w:val="18"/>
          <w:lang w:val="en-US"/>
        </w:rPr>
      </w:pPr>
      <w:r w:rsidRPr="001401D1">
        <w:rPr>
          <w:rStyle w:val="FootnoteReference"/>
          <w:rFonts w:asciiTheme="majorHAnsi" w:hAnsiTheme="majorHAnsi"/>
          <w:sz w:val="18"/>
          <w:szCs w:val="18"/>
        </w:rPr>
        <w:footnoteRef/>
      </w:r>
      <w:r w:rsidRPr="001401D1">
        <w:rPr>
          <w:rFonts w:asciiTheme="majorHAnsi" w:hAnsiTheme="majorHAnsi"/>
          <w:sz w:val="18"/>
          <w:szCs w:val="18"/>
        </w:rPr>
        <w:t xml:space="preserve"> </w:t>
      </w:r>
      <w:r w:rsidRPr="001401D1">
        <w:rPr>
          <w:rFonts w:asciiTheme="majorHAnsi" w:hAnsiTheme="majorHAnsi"/>
          <w:sz w:val="18"/>
          <w:szCs w:val="18"/>
          <w:lang w:val="en-US"/>
        </w:rPr>
        <w:t>General Comment 34, Par.</w:t>
      </w:r>
      <w:r w:rsidRPr="005052F7">
        <w:rPr>
          <w:rFonts w:asciiTheme="majorHAnsi" w:hAnsiTheme="majorHAnsi"/>
          <w:sz w:val="18"/>
          <w:szCs w:val="18"/>
          <w:lang w:val="en-US"/>
        </w:rPr>
        <w:t xml:space="preserve"> </w:t>
      </w:r>
      <w:r>
        <w:rPr>
          <w:rFonts w:asciiTheme="majorHAnsi" w:hAnsiTheme="majorHAnsi"/>
          <w:sz w:val="18"/>
          <w:szCs w:val="18"/>
          <w:lang w:val="en-US"/>
        </w:rPr>
        <w:t>46</w:t>
      </w:r>
    </w:p>
  </w:footnote>
  <w:footnote w:id="18">
    <w:p w14:paraId="70B1A6F2" w14:textId="77777777" w:rsidR="00B53FC7" w:rsidRPr="009C57C2" w:rsidRDefault="00B53FC7" w:rsidP="002F0AFF">
      <w:pPr>
        <w:pStyle w:val="FootnoteText"/>
        <w:rPr>
          <w:rFonts w:asciiTheme="majorHAnsi" w:hAnsiTheme="majorHAnsi"/>
          <w:sz w:val="18"/>
          <w:szCs w:val="18"/>
          <w:lang w:val="en-US"/>
        </w:rPr>
      </w:pPr>
      <w:r w:rsidRPr="009C57C2">
        <w:rPr>
          <w:rStyle w:val="FootnoteReference"/>
          <w:rFonts w:asciiTheme="majorHAnsi" w:hAnsiTheme="majorHAnsi"/>
          <w:sz w:val="18"/>
          <w:szCs w:val="18"/>
        </w:rPr>
        <w:footnoteRef/>
      </w:r>
      <w:r w:rsidRPr="009C57C2">
        <w:rPr>
          <w:rFonts w:asciiTheme="majorHAnsi" w:hAnsiTheme="majorHAnsi"/>
          <w:sz w:val="18"/>
          <w:szCs w:val="18"/>
        </w:rPr>
        <w:t xml:space="preserve"> </w:t>
      </w:r>
      <w:r w:rsidRPr="009C57C2">
        <w:rPr>
          <w:rFonts w:asciiTheme="majorHAnsi" w:hAnsiTheme="majorHAnsi"/>
          <w:sz w:val="18"/>
          <w:szCs w:val="18"/>
          <w:lang w:val="en-US"/>
        </w:rPr>
        <w:t xml:space="preserve">General Comment 34 (op. </w:t>
      </w:r>
      <w:proofErr w:type="spellStart"/>
      <w:r w:rsidRPr="009C57C2">
        <w:rPr>
          <w:rFonts w:asciiTheme="majorHAnsi" w:hAnsiTheme="majorHAnsi"/>
          <w:sz w:val="18"/>
          <w:szCs w:val="18"/>
          <w:lang w:val="en-US"/>
        </w:rPr>
        <w:t>cit</w:t>
      </w:r>
      <w:proofErr w:type="spellEnd"/>
      <w:r w:rsidRPr="009C57C2">
        <w:rPr>
          <w:rFonts w:asciiTheme="majorHAnsi" w:hAnsiTheme="majorHAnsi"/>
          <w:sz w:val="18"/>
          <w:szCs w:val="18"/>
          <w:lang w:val="en-US"/>
        </w:rPr>
        <w:t>), par. 50-51</w:t>
      </w:r>
    </w:p>
  </w:footnote>
  <w:footnote w:id="19">
    <w:p w14:paraId="306564EF" w14:textId="5F9A3F84" w:rsidR="00B53FC7" w:rsidRPr="007902C2" w:rsidRDefault="00B53FC7">
      <w:pPr>
        <w:pStyle w:val="FootnoteText"/>
        <w:rPr>
          <w:rFonts w:asciiTheme="majorHAnsi" w:hAnsiTheme="majorHAnsi"/>
          <w:sz w:val="18"/>
          <w:szCs w:val="18"/>
          <w:lang w:val="en-US"/>
        </w:rPr>
      </w:pPr>
      <w:r w:rsidRPr="007902C2">
        <w:rPr>
          <w:rStyle w:val="FootnoteReference"/>
          <w:rFonts w:asciiTheme="majorHAnsi" w:hAnsiTheme="majorHAnsi"/>
          <w:sz w:val="18"/>
          <w:szCs w:val="18"/>
        </w:rPr>
        <w:footnoteRef/>
      </w:r>
      <w:r w:rsidRPr="007902C2">
        <w:rPr>
          <w:rFonts w:asciiTheme="majorHAnsi" w:hAnsiTheme="majorHAnsi"/>
          <w:sz w:val="18"/>
          <w:szCs w:val="18"/>
        </w:rPr>
        <w:t xml:space="preserve"> </w:t>
      </w:r>
      <w:r w:rsidRPr="007902C2">
        <w:rPr>
          <w:rFonts w:asciiTheme="majorHAnsi" w:hAnsiTheme="majorHAnsi"/>
          <w:sz w:val="18"/>
          <w:szCs w:val="18"/>
          <w:lang w:val="en-US"/>
        </w:rPr>
        <w:t>ARTICLE 19, Prohibiting Incitement to discrimination, violence and hostility, Policy Brief, 2012</w:t>
      </w:r>
    </w:p>
  </w:footnote>
  <w:footnote w:id="20">
    <w:p w14:paraId="18A34762" w14:textId="7AA3BFA6" w:rsidR="00B53FC7" w:rsidRPr="008816FE" w:rsidRDefault="00B53FC7">
      <w:pPr>
        <w:pStyle w:val="FootnoteText"/>
        <w:rPr>
          <w:rFonts w:asciiTheme="majorHAnsi" w:hAnsiTheme="majorHAnsi"/>
          <w:sz w:val="18"/>
          <w:szCs w:val="18"/>
          <w:lang w:val="en-US"/>
        </w:rPr>
      </w:pPr>
      <w:r w:rsidRPr="008816FE">
        <w:rPr>
          <w:rStyle w:val="FootnoteReference"/>
          <w:rFonts w:asciiTheme="majorHAnsi" w:hAnsiTheme="majorHAnsi"/>
          <w:sz w:val="18"/>
          <w:szCs w:val="18"/>
        </w:rPr>
        <w:footnoteRef/>
      </w:r>
      <w:r w:rsidRPr="008816FE">
        <w:rPr>
          <w:rFonts w:asciiTheme="majorHAnsi" w:hAnsiTheme="majorHAnsi"/>
          <w:sz w:val="18"/>
          <w:szCs w:val="18"/>
        </w:rPr>
        <w:t xml:space="preserve"> </w:t>
      </w:r>
      <w:r w:rsidRPr="008816FE">
        <w:rPr>
          <w:rFonts w:asciiTheme="majorHAnsi" w:hAnsiTheme="majorHAnsi"/>
          <w:sz w:val="18"/>
          <w:szCs w:val="18"/>
          <w:lang w:val="en-US"/>
        </w:rPr>
        <w:t>ARTICLE 19, 2012, p.19</w:t>
      </w:r>
    </w:p>
  </w:footnote>
  <w:footnote w:id="21">
    <w:p w14:paraId="5EB42817" w14:textId="7591D0E4" w:rsidR="00B53FC7" w:rsidRPr="008816FE" w:rsidRDefault="00B53FC7">
      <w:pPr>
        <w:pStyle w:val="FootnoteText"/>
        <w:rPr>
          <w:rFonts w:asciiTheme="majorHAnsi" w:hAnsiTheme="majorHAnsi"/>
          <w:sz w:val="18"/>
          <w:szCs w:val="18"/>
          <w:lang w:val="en-US"/>
        </w:rPr>
      </w:pPr>
      <w:r w:rsidRPr="008816FE">
        <w:rPr>
          <w:rStyle w:val="FootnoteReference"/>
          <w:rFonts w:asciiTheme="majorHAnsi" w:hAnsiTheme="majorHAnsi"/>
          <w:sz w:val="18"/>
          <w:szCs w:val="18"/>
        </w:rPr>
        <w:footnoteRef/>
      </w:r>
      <w:r w:rsidRPr="008816FE">
        <w:rPr>
          <w:rFonts w:asciiTheme="majorHAnsi" w:hAnsiTheme="majorHAnsi"/>
          <w:sz w:val="18"/>
          <w:szCs w:val="18"/>
        </w:rPr>
        <w:t xml:space="preserve"> </w:t>
      </w:r>
      <w:r w:rsidRPr="008816FE">
        <w:rPr>
          <w:rFonts w:asciiTheme="majorHAnsi" w:hAnsiTheme="majorHAnsi"/>
          <w:sz w:val="18"/>
          <w:szCs w:val="18"/>
          <w:lang w:val="en-US"/>
        </w:rPr>
        <w:t>Ibid</w:t>
      </w:r>
    </w:p>
  </w:footnote>
  <w:footnote w:id="22">
    <w:p w14:paraId="0845BE92" w14:textId="4083EC52" w:rsidR="00B53FC7" w:rsidRPr="00B53FC7" w:rsidRDefault="00B53FC7">
      <w:pPr>
        <w:pStyle w:val="FootnoteText"/>
        <w:rPr>
          <w:rFonts w:asciiTheme="majorHAnsi" w:hAnsiTheme="majorHAnsi"/>
          <w:sz w:val="18"/>
          <w:szCs w:val="18"/>
          <w:lang w:val="en-US"/>
        </w:rPr>
      </w:pPr>
      <w:r w:rsidRPr="00B53FC7">
        <w:rPr>
          <w:rStyle w:val="FootnoteReference"/>
          <w:rFonts w:asciiTheme="majorHAnsi" w:hAnsiTheme="majorHAnsi"/>
          <w:sz w:val="18"/>
          <w:szCs w:val="18"/>
        </w:rPr>
        <w:footnoteRef/>
      </w:r>
      <w:r w:rsidRPr="00B53FC7">
        <w:rPr>
          <w:rFonts w:asciiTheme="majorHAnsi" w:hAnsiTheme="majorHAnsi"/>
          <w:sz w:val="18"/>
          <w:szCs w:val="18"/>
        </w:rPr>
        <w:t xml:space="preserve"> Different versions of this </w:t>
      </w:r>
      <w:r w:rsidRPr="00B53FC7">
        <w:rPr>
          <w:rFonts w:asciiTheme="majorHAnsi" w:hAnsiTheme="majorHAnsi"/>
          <w:sz w:val="18"/>
          <w:szCs w:val="18"/>
          <w:lang w:val="en-US"/>
        </w:rPr>
        <w:t>typology</w:t>
      </w:r>
      <w:r w:rsidR="003E28DE">
        <w:rPr>
          <w:rFonts w:asciiTheme="majorHAnsi" w:hAnsiTheme="majorHAnsi"/>
          <w:sz w:val="18"/>
          <w:szCs w:val="18"/>
          <w:lang w:val="en-US"/>
        </w:rPr>
        <w:t xml:space="preserve"> and the other two figures</w:t>
      </w:r>
      <w:r w:rsidRPr="00B53FC7">
        <w:rPr>
          <w:rFonts w:asciiTheme="majorHAnsi" w:hAnsiTheme="majorHAnsi"/>
          <w:sz w:val="18"/>
          <w:szCs w:val="18"/>
          <w:lang w:val="en-US"/>
        </w:rPr>
        <w:t xml:space="preserve"> have been presented at various conferences throughout 2014 and 2015 and with groups and scholars working on freedom of expression and Hate Speech</w:t>
      </w:r>
      <w:r w:rsidR="003E28DE">
        <w:rPr>
          <w:rFonts w:asciiTheme="majorHAnsi" w:hAnsiTheme="majorHAnsi"/>
          <w:sz w:val="18"/>
          <w:szCs w:val="18"/>
          <w:lang w:val="en-US"/>
        </w:rPr>
        <w:t xml:space="preserve">, most notable, colleagues involved in a Project by the UN Office for the prevention of Genocide related to the role of religious leaders in presenting and responding to incitement to violence. </w:t>
      </w:r>
    </w:p>
  </w:footnote>
  <w:footnote w:id="23">
    <w:p w14:paraId="3B544EBC" w14:textId="0A8D171A" w:rsidR="00B53FC7" w:rsidRPr="001401D1" w:rsidRDefault="00B53FC7">
      <w:pPr>
        <w:pStyle w:val="FootnoteText"/>
        <w:rPr>
          <w:rFonts w:asciiTheme="majorHAnsi" w:hAnsiTheme="majorHAnsi"/>
          <w:sz w:val="18"/>
          <w:szCs w:val="18"/>
          <w:lang w:val="en-US"/>
        </w:rPr>
      </w:pPr>
      <w:r w:rsidRPr="001401D1">
        <w:rPr>
          <w:rStyle w:val="FootnoteReference"/>
          <w:rFonts w:asciiTheme="majorHAnsi" w:hAnsiTheme="majorHAnsi"/>
          <w:sz w:val="18"/>
          <w:szCs w:val="18"/>
        </w:rPr>
        <w:footnoteRef/>
      </w:r>
      <w:r>
        <w:rPr>
          <w:rFonts w:asciiTheme="majorHAnsi" w:hAnsiTheme="majorHAnsi"/>
          <w:sz w:val="18"/>
          <w:szCs w:val="18"/>
        </w:rPr>
        <w:t xml:space="preserve"> Based on </w:t>
      </w:r>
      <w:proofErr w:type="spellStart"/>
      <w:r>
        <w:rPr>
          <w:rFonts w:asciiTheme="majorHAnsi" w:hAnsiTheme="majorHAnsi"/>
          <w:sz w:val="18"/>
          <w:szCs w:val="18"/>
        </w:rPr>
        <w:t>Jeroen</w:t>
      </w:r>
      <w:proofErr w:type="spellEnd"/>
      <w:r>
        <w:rPr>
          <w:rFonts w:asciiTheme="majorHAnsi" w:hAnsiTheme="majorHAnsi"/>
          <w:sz w:val="18"/>
          <w:szCs w:val="18"/>
        </w:rPr>
        <w:t xml:space="preserve"> </w:t>
      </w:r>
      <w:proofErr w:type="spellStart"/>
      <w:r>
        <w:rPr>
          <w:rFonts w:asciiTheme="majorHAnsi" w:hAnsiTheme="majorHAnsi"/>
          <w:sz w:val="18"/>
          <w:szCs w:val="18"/>
        </w:rPr>
        <w:t>Temperman</w:t>
      </w:r>
      <w:proofErr w:type="spellEnd"/>
      <w:r>
        <w:rPr>
          <w:rFonts w:asciiTheme="majorHAnsi" w:hAnsiTheme="majorHAnsi"/>
          <w:sz w:val="18"/>
          <w:szCs w:val="18"/>
        </w:rPr>
        <w:t xml:space="preserve">, “Blasphemy versus Incitement – An International Law </w:t>
      </w:r>
      <w:r w:rsidRPr="001401D1">
        <w:rPr>
          <w:rFonts w:asciiTheme="majorHAnsi" w:hAnsiTheme="majorHAnsi"/>
          <w:sz w:val="18"/>
          <w:szCs w:val="18"/>
        </w:rPr>
        <w:t xml:space="preserve">perspective” </w:t>
      </w:r>
      <w:r w:rsidRPr="001401D1">
        <w:rPr>
          <w:rFonts w:asciiTheme="majorHAnsi" w:hAnsiTheme="majorHAnsi" w:cs="Verdana"/>
          <w:color w:val="1F1F1F"/>
          <w:sz w:val="18"/>
          <w:szCs w:val="18"/>
        </w:rPr>
        <w:t xml:space="preserve">in: Christopher </w:t>
      </w:r>
      <w:proofErr w:type="spellStart"/>
      <w:r w:rsidRPr="001401D1">
        <w:rPr>
          <w:rFonts w:asciiTheme="majorHAnsi" w:hAnsiTheme="majorHAnsi" w:cs="Verdana"/>
          <w:color w:val="1F1F1F"/>
          <w:sz w:val="18"/>
          <w:szCs w:val="18"/>
        </w:rPr>
        <w:t>Beneke</w:t>
      </w:r>
      <w:proofErr w:type="spellEnd"/>
      <w:r w:rsidRPr="001401D1">
        <w:rPr>
          <w:rFonts w:asciiTheme="majorHAnsi" w:hAnsiTheme="majorHAnsi" w:cs="Verdana"/>
          <w:color w:val="1F1F1F"/>
          <w:sz w:val="18"/>
          <w:szCs w:val="18"/>
        </w:rPr>
        <w:t xml:space="preserve">, Christopher </w:t>
      </w:r>
      <w:proofErr w:type="spellStart"/>
      <w:r w:rsidRPr="001401D1">
        <w:rPr>
          <w:rFonts w:asciiTheme="majorHAnsi" w:hAnsiTheme="majorHAnsi" w:cs="Verdana"/>
          <w:color w:val="1F1F1F"/>
          <w:sz w:val="18"/>
          <w:szCs w:val="18"/>
        </w:rPr>
        <w:t>Grenda</w:t>
      </w:r>
      <w:proofErr w:type="spellEnd"/>
      <w:r w:rsidRPr="001401D1">
        <w:rPr>
          <w:rFonts w:asciiTheme="majorHAnsi" w:hAnsiTheme="majorHAnsi" w:cs="Verdana"/>
          <w:color w:val="1F1F1F"/>
          <w:sz w:val="18"/>
          <w:szCs w:val="18"/>
        </w:rPr>
        <w:t xml:space="preserve"> and David Nash (eds.), </w:t>
      </w:r>
      <w:r w:rsidRPr="001401D1">
        <w:rPr>
          <w:rFonts w:asciiTheme="majorHAnsi" w:hAnsiTheme="majorHAnsi" w:cs="Verdana"/>
          <w:i/>
          <w:iCs/>
          <w:color w:val="1F1F1F"/>
          <w:sz w:val="18"/>
          <w:szCs w:val="18"/>
        </w:rPr>
        <w:t>Profane: Sacrilegious Expression in a Multicultural Age</w:t>
      </w:r>
      <w:r w:rsidRPr="001401D1">
        <w:rPr>
          <w:rFonts w:asciiTheme="majorHAnsi" w:hAnsiTheme="majorHAnsi" w:cs="Verdana"/>
          <w:color w:val="1F1F1F"/>
          <w:sz w:val="18"/>
          <w:szCs w:val="18"/>
        </w:rPr>
        <w:t xml:space="preserve"> (University of California Press, 2014), pp. 401–425.</w:t>
      </w:r>
    </w:p>
  </w:footnote>
  <w:footnote w:id="24">
    <w:p w14:paraId="327E9034" w14:textId="77777777" w:rsidR="00B53FC7" w:rsidRPr="00595A2D" w:rsidRDefault="00B53FC7" w:rsidP="00C25F5C">
      <w:pPr>
        <w:pStyle w:val="FootnoteText"/>
        <w:rPr>
          <w:rFonts w:asciiTheme="majorHAnsi" w:hAnsiTheme="majorHAnsi"/>
          <w:sz w:val="18"/>
          <w:szCs w:val="18"/>
          <w:lang w:val="en-US"/>
        </w:rPr>
      </w:pPr>
      <w:r w:rsidRPr="009C57C2">
        <w:rPr>
          <w:rStyle w:val="FootnoteReference"/>
          <w:rFonts w:asciiTheme="majorHAnsi" w:hAnsiTheme="majorHAnsi"/>
          <w:sz w:val="18"/>
          <w:szCs w:val="18"/>
        </w:rPr>
        <w:footnoteRef/>
      </w:r>
      <w:r w:rsidRPr="009C57C2">
        <w:rPr>
          <w:rFonts w:asciiTheme="majorHAnsi" w:hAnsiTheme="majorHAnsi"/>
          <w:sz w:val="18"/>
          <w:szCs w:val="18"/>
        </w:rPr>
        <w:t xml:space="preserve"> </w:t>
      </w:r>
      <w:r w:rsidRPr="009C57C2">
        <w:rPr>
          <w:rFonts w:asciiTheme="majorHAnsi" w:hAnsiTheme="majorHAnsi"/>
          <w:sz w:val="18"/>
          <w:szCs w:val="18"/>
          <w:lang w:val="en-US"/>
        </w:rPr>
        <w:t>There is discussion as to whether</w:t>
      </w:r>
      <w:r w:rsidRPr="00595A2D">
        <w:rPr>
          <w:rFonts w:asciiTheme="majorHAnsi" w:hAnsiTheme="majorHAnsi"/>
          <w:sz w:val="18"/>
          <w:szCs w:val="18"/>
          <w:lang w:val="en-US"/>
        </w:rPr>
        <w:t xml:space="preserve"> incitement also causes someone one to “think” in a certain way. </w:t>
      </w:r>
    </w:p>
  </w:footnote>
  <w:footnote w:id="25">
    <w:p w14:paraId="6165875B" w14:textId="05C83109" w:rsidR="00B53FC7" w:rsidRPr="00C25F5C" w:rsidRDefault="00B53FC7" w:rsidP="00C25F5C">
      <w:pPr>
        <w:pStyle w:val="FootnoteText"/>
        <w:rPr>
          <w:rFonts w:asciiTheme="majorHAnsi" w:hAnsiTheme="majorHAnsi"/>
          <w:sz w:val="18"/>
          <w:szCs w:val="18"/>
          <w:lang w:val="en-US"/>
        </w:rPr>
      </w:pPr>
      <w:r w:rsidRPr="00C25F5C">
        <w:rPr>
          <w:rStyle w:val="FootnoteReference"/>
          <w:rFonts w:asciiTheme="majorHAnsi" w:hAnsiTheme="majorHAnsi"/>
          <w:sz w:val="18"/>
          <w:szCs w:val="18"/>
        </w:rPr>
        <w:footnoteRef/>
      </w:r>
      <w:r w:rsidRPr="00C25F5C">
        <w:rPr>
          <w:rFonts w:asciiTheme="majorHAnsi" w:hAnsiTheme="majorHAnsi"/>
          <w:sz w:val="18"/>
          <w:szCs w:val="18"/>
        </w:rPr>
        <w:t xml:space="preserve"> </w:t>
      </w:r>
      <w:r>
        <w:rPr>
          <w:rFonts w:asciiTheme="majorHAnsi" w:hAnsiTheme="majorHAnsi"/>
          <w:sz w:val="18"/>
          <w:szCs w:val="18"/>
          <w:lang w:val="en-US"/>
        </w:rPr>
        <w:t xml:space="preserve">ARTICLE 19, </w:t>
      </w:r>
      <w:proofErr w:type="spellStart"/>
      <w:r>
        <w:rPr>
          <w:rFonts w:asciiTheme="majorHAnsi" w:hAnsiTheme="majorHAnsi"/>
          <w:sz w:val="18"/>
          <w:szCs w:val="18"/>
          <w:lang w:val="en-US"/>
        </w:rPr>
        <w:t>Op.Cit</w:t>
      </w:r>
      <w:proofErr w:type="spellEnd"/>
      <w:r>
        <w:rPr>
          <w:rFonts w:asciiTheme="majorHAnsi" w:hAnsiTheme="majorHAnsi"/>
          <w:sz w:val="18"/>
          <w:szCs w:val="18"/>
          <w:lang w:val="en-US"/>
        </w:rPr>
        <w:t xml:space="preserve">, Policy Brief, </w:t>
      </w:r>
      <w:r w:rsidRPr="00C25F5C">
        <w:rPr>
          <w:rFonts w:asciiTheme="majorHAnsi" w:hAnsiTheme="majorHAnsi"/>
          <w:sz w:val="18"/>
          <w:szCs w:val="18"/>
          <w:lang w:val="en-US"/>
        </w:rPr>
        <w:t xml:space="preserve">2012 </w:t>
      </w:r>
    </w:p>
  </w:footnote>
  <w:footnote w:id="26">
    <w:p w14:paraId="7D5D5DAF" w14:textId="29E54B86" w:rsidR="00B53FC7" w:rsidRPr="00C25F5C" w:rsidRDefault="00B53FC7" w:rsidP="00C25F5C">
      <w:pPr>
        <w:pStyle w:val="NormalWeb"/>
        <w:spacing w:before="0" w:beforeAutospacing="0" w:after="0" w:afterAutospacing="0"/>
        <w:rPr>
          <w:rFonts w:asciiTheme="majorHAnsi" w:hAnsiTheme="majorHAnsi"/>
          <w:sz w:val="18"/>
          <w:szCs w:val="18"/>
        </w:rPr>
      </w:pPr>
      <w:r w:rsidRPr="00C25F5C">
        <w:rPr>
          <w:rStyle w:val="FootnoteReference"/>
          <w:rFonts w:asciiTheme="majorHAnsi" w:hAnsiTheme="majorHAnsi"/>
          <w:sz w:val="18"/>
          <w:szCs w:val="18"/>
        </w:rPr>
        <w:footnoteRef/>
      </w:r>
      <w:r w:rsidRPr="00C25F5C">
        <w:rPr>
          <w:rFonts w:asciiTheme="majorHAnsi" w:hAnsiTheme="majorHAnsi"/>
          <w:sz w:val="18"/>
          <w:szCs w:val="18"/>
        </w:rPr>
        <w:t xml:space="preserve"> Rabat Plan of Action on the prohibition of the advocacy of national, racial or religious hatred that constitutes incitement to discrimination, hostility or violence</w:t>
      </w:r>
      <w:r>
        <w:rPr>
          <w:rFonts w:asciiTheme="majorHAnsi" w:hAnsiTheme="majorHAnsi"/>
          <w:sz w:val="18"/>
          <w:szCs w:val="18"/>
        </w:rPr>
        <w:t xml:space="preserve">, OHCHR, 2012, </w:t>
      </w:r>
      <w:r w:rsidRPr="00C25F5C">
        <w:rPr>
          <w:rFonts w:asciiTheme="majorHAnsi" w:hAnsiTheme="majorHAnsi"/>
          <w:sz w:val="18"/>
          <w:szCs w:val="18"/>
        </w:rPr>
        <w:t xml:space="preserve"> </w:t>
      </w:r>
    </w:p>
    <w:p w14:paraId="3C560F2F" w14:textId="04EAAFE8" w:rsidR="00B53FC7" w:rsidRPr="00C25F5C" w:rsidRDefault="00B53FC7">
      <w:pPr>
        <w:pStyle w:val="FootnoteText"/>
        <w:rPr>
          <w:rFonts w:asciiTheme="majorHAnsi" w:hAnsiTheme="majorHAnsi"/>
          <w:sz w:val="18"/>
          <w:szCs w:val="18"/>
          <w:lang w:val="en-US"/>
        </w:rPr>
      </w:pPr>
      <w:r>
        <w:rPr>
          <w:rFonts w:asciiTheme="majorHAnsi" w:hAnsiTheme="majorHAnsi"/>
          <w:sz w:val="18"/>
          <w:szCs w:val="18"/>
          <w:lang w:val="en-US"/>
        </w:rPr>
        <w:t xml:space="preserve"> </w:t>
      </w:r>
    </w:p>
  </w:footnote>
  <w:footnote w:id="27">
    <w:p w14:paraId="1288F2F8" w14:textId="28E9B758" w:rsidR="00B53FC7" w:rsidRPr="00C25F5C" w:rsidRDefault="00B53FC7">
      <w:pPr>
        <w:pStyle w:val="FootnoteText"/>
        <w:rPr>
          <w:rFonts w:asciiTheme="majorHAnsi" w:hAnsiTheme="majorHAnsi"/>
          <w:sz w:val="18"/>
          <w:szCs w:val="18"/>
          <w:lang w:val="en-US"/>
        </w:rPr>
      </w:pPr>
      <w:r w:rsidRPr="00C25F5C">
        <w:rPr>
          <w:rStyle w:val="FootnoteReference"/>
          <w:rFonts w:asciiTheme="majorHAnsi" w:hAnsiTheme="majorHAnsi"/>
          <w:sz w:val="18"/>
          <w:szCs w:val="18"/>
        </w:rPr>
        <w:footnoteRef/>
      </w:r>
      <w:r w:rsidRPr="00C25F5C">
        <w:rPr>
          <w:rFonts w:asciiTheme="majorHAnsi" w:hAnsiTheme="majorHAnsi"/>
          <w:sz w:val="18"/>
          <w:szCs w:val="18"/>
        </w:rPr>
        <w:t xml:space="preserve"> </w:t>
      </w:r>
      <w:r w:rsidRPr="00C25F5C">
        <w:rPr>
          <w:rFonts w:asciiTheme="majorHAnsi" w:hAnsiTheme="majorHAnsi"/>
          <w:sz w:val="18"/>
          <w:szCs w:val="18"/>
          <w:lang w:val="en-US"/>
        </w:rPr>
        <w:t>Johannesburg principle</w:t>
      </w:r>
      <w:r>
        <w:rPr>
          <w:rFonts w:asciiTheme="majorHAnsi" w:hAnsiTheme="majorHAnsi"/>
          <w:sz w:val="18"/>
          <w:szCs w:val="18"/>
          <w:lang w:val="en-US"/>
        </w:rPr>
        <w:t xml:space="preserve"> on National Security, Freedom of Expression and Access to Information, ARTICLE 19, November 1996</w:t>
      </w:r>
    </w:p>
  </w:footnote>
  <w:footnote w:id="28">
    <w:p w14:paraId="1241D5A8" w14:textId="52288009" w:rsidR="00B53FC7" w:rsidRPr="00913921" w:rsidRDefault="00B53FC7" w:rsidP="00205AC7">
      <w:pPr>
        <w:pStyle w:val="FootnoteText"/>
        <w:jc w:val="both"/>
        <w:rPr>
          <w:sz w:val="18"/>
          <w:szCs w:val="18"/>
          <w:lang w:val="en-US"/>
        </w:rPr>
      </w:pPr>
      <w:r w:rsidRPr="00913921">
        <w:rPr>
          <w:rStyle w:val="FootnoteReference"/>
          <w:sz w:val="18"/>
          <w:szCs w:val="18"/>
        </w:rPr>
        <w:footnoteRef/>
      </w:r>
      <w:r w:rsidRPr="00913921">
        <w:rPr>
          <w:sz w:val="18"/>
          <w:szCs w:val="18"/>
        </w:rPr>
        <w:t xml:space="preserve"> </w:t>
      </w:r>
      <w:r w:rsidRPr="00913921">
        <w:rPr>
          <w:i/>
          <w:sz w:val="18"/>
          <w:szCs w:val="18"/>
        </w:rPr>
        <w:t>Johannesburg Principles</w:t>
      </w:r>
      <w:r w:rsidRPr="00913921">
        <w:rPr>
          <w:sz w:val="18"/>
          <w:szCs w:val="18"/>
          <w:lang w:val="en-US"/>
        </w:rPr>
        <w:t xml:space="preserve">, </w:t>
      </w:r>
      <w:proofErr w:type="gramStart"/>
      <w:r w:rsidRPr="00913921">
        <w:rPr>
          <w:sz w:val="18"/>
          <w:szCs w:val="18"/>
          <w:lang w:val="en-US"/>
        </w:rPr>
        <w:t>Principle</w:t>
      </w:r>
      <w:proofErr w:type="gramEnd"/>
      <w:r w:rsidRPr="00913921">
        <w:rPr>
          <w:sz w:val="18"/>
          <w:szCs w:val="18"/>
          <w:lang w:val="en-US"/>
        </w:rPr>
        <w:t xml:space="preserve"> 2(a).</w:t>
      </w:r>
    </w:p>
  </w:footnote>
  <w:footnote w:id="29">
    <w:p w14:paraId="02AE5511" w14:textId="52C08D05" w:rsidR="00B53FC7" w:rsidRPr="00913921" w:rsidRDefault="00B53FC7" w:rsidP="00B20722">
      <w:pPr>
        <w:pStyle w:val="FootnoteText"/>
        <w:jc w:val="both"/>
        <w:rPr>
          <w:sz w:val="18"/>
          <w:szCs w:val="18"/>
          <w:lang w:val="en-US"/>
        </w:rPr>
      </w:pPr>
      <w:r w:rsidRPr="004E3604">
        <w:rPr>
          <w:rStyle w:val="FootnoteReference"/>
          <w:sz w:val="18"/>
          <w:szCs w:val="18"/>
        </w:rPr>
        <w:footnoteRef/>
      </w:r>
      <w:r w:rsidRPr="004E3604">
        <w:rPr>
          <w:sz w:val="18"/>
          <w:szCs w:val="18"/>
          <w:lang w:val="en-US"/>
        </w:rPr>
        <w:t xml:space="preserve"> </w:t>
      </w:r>
      <w:r>
        <w:rPr>
          <w:sz w:val="18"/>
          <w:szCs w:val="18"/>
          <w:lang w:val="en-US"/>
        </w:rPr>
        <w:t>Principle 2(b)</w:t>
      </w:r>
    </w:p>
  </w:footnote>
  <w:footnote w:id="30">
    <w:p w14:paraId="7A3EA4B1" w14:textId="77777777" w:rsidR="00B53FC7" w:rsidRPr="000B0A10" w:rsidRDefault="00B53FC7" w:rsidP="0034695E">
      <w:pPr>
        <w:pStyle w:val="FootnoteText"/>
        <w:ind w:left="180" w:hanging="180"/>
        <w:rPr>
          <w:rFonts w:asciiTheme="majorHAnsi" w:hAnsiTheme="majorHAnsi" w:cstheme="majorBidi"/>
          <w:sz w:val="18"/>
          <w:szCs w:val="18"/>
          <w:lang w:val="en-US"/>
        </w:rPr>
      </w:pPr>
      <w:r w:rsidRPr="000B0A10">
        <w:rPr>
          <w:rStyle w:val="FootnoteReference"/>
          <w:rFonts w:asciiTheme="majorHAnsi" w:hAnsiTheme="majorHAnsi" w:cstheme="majorBidi"/>
          <w:sz w:val="18"/>
          <w:szCs w:val="18"/>
        </w:rPr>
        <w:footnoteRef/>
      </w:r>
      <w:r w:rsidRPr="000B0A10">
        <w:rPr>
          <w:rFonts w:asciiTheme="majorHAnsi" w:hAnsiTheme="majorHAnsi" w:cstheme="majorBidi"/>
          <w:sz w:val="18"/>
          <w:szCs w:val="18"/>
        </w:rPr>
        <w:t xml:space="preserve"> Human Rights Watch, ‘In the Name of Security: Counterterrorism Laws Worldwide since September 11’ (2012), available at &lt;https://www.hrw.org/report/2012/06/29/name-security/counterterrorism-laws-worldwide-september-11&gt;.</w:t>
      </w:r>
    </w:p>
  </w:footnote>
  <w:footnote w:id="31">
    <w:p w14:paraId="50411089" w14:textId="77777777" w:rsidR="00B53FC7" w:rsidRPr="000B0A10" w:rsidRDefault="00B53FC7" w:rsidP="0034695E">
      <w:pPr>
        <w:pStyle w:val="FootnoteText"/>
        <w:rPr>
          <w:rFonts w:asciiTheme="majorHAnsi" w:hAnsiTheme="majorHAnsi" w:cstheme="majorBidi"/>
          <w:sz w:val="18"/>
          <w:szCs w:val="18"/>
          <w:lang w:val="en-US"/>
        </w:rPr>
      </w:pPr>
      <w:r w:rsidRPr="000B0A10">
        <w:rPr>
          <w:rStyle w:val="FootnoteReference"/>
          <w:rFonts w:asciiTheme="majorHAnsi" w:hAnsiTheme="majorHAnsi" w:cstheme="majorBidi"/>
          <w:sz w:val="18"/>
          <w:szCs w:val="18"/>
        </w:rPr>
        <w:footnoteRef/>
      </w:r>
      <w:r w:rsidRPr="000B0A10">
        <w:rPr>
          <w:rFonts w:asciiTheme="majorHAnsi" w:hAnsiTheme="majorHAnsi" w:cstheme="majorBidi"/>
          <w:sz w:val="18"/>
          <w:szCs w:val="18"/>
        </w:rPr>
        <w:t xml:space="preserve"> </w:t>
      </w:r>
      <w:r w:rsidRPr="000B0A10">
        <w:rPr>
          <w:rFonts w:asciiTheme="majorHAnsi" w:hAnsiTheme="majorHAnsi" w:cstheme="majorBidi"/>
          <w:i/>
          <w:sz w:val="18"/>
          <w:szCs w:val="18"/>
        </w:rPr>
        <w:t>Ibid</w:t>
      </w:r>
      <w:proofErr w:type="gramStart"/>
      <w:r w:rsidRPr="000B0A10">
        <w:rPr>
          <w:rFonts w:asciiTheme="majorHAnsi" w:hAnsiTheme="majorHAnsi" w:cstheme="majorBidi"/>
          <w:sz w:val="18"/>
          <w:szCs w:val="18"/>
        </w:rPr>
        <w:t>.,</w:t>
      </w:r>
      <w:proofErr w:type="gramEnd"/>
      <w:r w:rsidRPr="000B0A10">
        <w:rPr>
          <w:rFonts w:asciiTheme="majorHAnsi" w:hAnsiTheme="majorHAnsi" w:cstheme="majorBidi"/>
          <w:sz w:val="18"/>
          <w:szCs w:val="18"/>
        </w:rPr>
        <w:t xml:space="preserve"> </w:t>
      </w:r>
      <w:r w:rsidRPr="000B0A10">
        <w:rPr>
          <w:rFonts w:asciiTheme="majorHAnsi" w:hAnsiTheme="majorHAnsi" w:cstheme="majorBidi"/>
          <w:sz w:val="18"/>
          <w:szCs w:val="18"/>
          <w:lang w:val="en-US"/>
        </w:rPr>
        <w:t>p.38</w:t>
      </w:r>
    </w:p>
  </w:footnote>
  <w:footnote w:id="32">
    <w:p w14:paraId="6B2449E2" w14:textId="77777777" w:rsidR="00B53FC7" w:rsidRPr="000B0A10" w:rsidRDefault="00B53FC7" w:rsidP="0034695E">
      <w:pPr>
        <w:pStyle w:val="FootnoteText"/>
        <w:rPr>
          <w:rFonts w:asciiTheme="majorHAnsi" w:hAnsiTheme="majorHAnsi" w:cstheme="majorBidi"/>
          <w:sz w:val="18"/>
          <w:szCs w:val="18"/>
          <w:lang w:val="en-US"/>
        </w:rPr>
      </w:pPr>
      <w:r w:rsidRPr="000B0A10">
        <w:rPr>
          <w:rStyle w:val="FootnoteReference"/>
          <w:rFonts w:asciiTheme="majorHAnsi" w:hAnsiTheme="majorHAnsi" w:cstheme="majorBidi"/>
          <w:sz w:val="18"/>
          <w:szCs w:val="18"/>
        </w:rPr>
        <w:footnoteRef/>
      </w:r>
      <w:r w:rsidRPr="000B0A10">
        <w:rPr>
          <w:rFonts w:asciiTheme="majorHAnsi" w:hAnsiTheme="majorHAnsi" w:cstheme="majorBidi"/>
          <w:sz w:val="18"/>
          <w:szCs w:val="18"/>
        </w:rPr>
        <w:t xml:space="preserve"> </w:t>
      </w:r>
      <w:r w:rsidRPr="000B0A10">
        <w:rPr>
          <w:rFonts w:asciiTheme="majorHAnsi" w:hAnsiTheme="majorHAnsi" w:cstheme="majorBidi"/>
          <w:sz w:val="18"/>
          <w:szCs w:val="18"/>
          <w:lang w:val="en-US"/>
        </w:rPr>
        <w:t>ARTICLE 19, ‘Amendments to Extremist Legislation further restricts freedom of expression’ (19 July 2007), available at &lt;https://www.article19.org/data/files/pdfs/press/russia-foe-violations-pr.pdf&gt;.</w:t>
      </w:r>
    </w:p>
  </w:footnote>
  <w:footnote w:id="33">
    <w:p w14:paraId="48EFE834" w14:textId="01E32DF9" w:rsidR="00B53FC7" w:rsidRPr="0079321B" w:rsidRDefault="00B53FC7">
      <w:pPr>
        <w:pStyle w:val="FootnoteText"/>
        <w:rPr>
          <w:rFonts w:asciiTheme="majorHAnsi" w:hAnsiTheme="majorHAnsi"/>
          <w:sz w:val="18"/>
          <w:szCs w:val="18"/>
          <w:lang w:val="en-US"/>
        </w:rPr>
      </w:pPr>
      <w:r w:rsidRPr="002B03F7">
        <w:rPr>
          <w:rStyle w:val="FootnoteReference"/>
          <w:rFonts w:asciiTheme="majorHAnsi" w:hAnsiTheme="majorHAnsi"/>
          <w:sz w:val="18"/>
          <w:szCs w:val="18"/>
        </w:rPr>
        <w:footnoteRef/>
      </w:r>
      <w:r w:rsidRPr="002B03F7">
        <w:rPr>
          <w:rFonts w:asciiTheme="majorHAnsi" w:hAnsiTheme="majorHAnsi"/>
          <w:sz w:val="18"/>
          <w:szCs w:val="18"/>
        </w:rPr>
        <w:t xml:space="preserve"> </w:t>
      </w:r>
      <w:r w:rsidRPr="002B03F7">
        <w:rPr>
          <w:rFonts w:asciiTheme="majorHAnsi" w:hAnsiTheme="majorHAnsi"/>
          <w:sz w:val="18"/>
          <w:szCs w:val="18"/>
          <w:lang w:val="en-US"/>
        </w:rPr>
        <w:t>Many decisions listed below were included in MLDI, December</w:t>
      </w:r>
      <w:r>
        <w:rPr>
          <w:rFonts w:asciiTheme="majorHAnsi" w:hAnsiTheme="majorHAnsi"/>
          <w:sz w:val="18"/>
          <w:szCs w:val="18"/>
          <w:lang w:val="en-US"/>
        </w:rPr>
        <w:t xml:space="preserve"> 2015, </w:t>
      </w:r>
      <w:proofErr w:type="spellStart"/>
      <w:r>
        <w:rPr>
          <w:rFonts w:asciiTheme="majorHAnsi" w:hAnsiTheme="majorHAnsi"/>
          <w:sz w:val="18"/>
          <w:szCs w:val="18"/>
          <w:lang w:val="en-US"/>
        </w:rPr>
        <w:t>Op.Cit</w:t>
      </w:r>
      <w:proofErr w:type="spellEnd"/>
    </w:p>
  </w:footnote>
  <w:footnote w:id="34">
    <w:p w14:paraId="0EBC39E5" w14:textId="77777777" w:rsidR="00B53FC7" w:rsidRPr="0047018F" w:rsidRDefault="00B53FC7" w:rsidP="00656CFD">
      <w:pPr>
        <w:pStyle w:val="FootnoteText"/>
        <w:rPr>
          <w:rFonts w:asciiTheme="majorHAnsi" w:hAnsiTheme="majorHAnsi"/>
          <w:sz w:val="18"/>
          <w:szCs w:val="18"/>
          <w:lang w:val="en-US"/>
        </w:rPr>
      </w:pPr>
      <w:r w:rsidRPr="0047018F">
        <w:rPr>
          <w:rStyle w:val="FootnoteReference"/>
          <w:rFonts w:asciiTheme="majorHAnsi" w:hAnsiTheme="majorHAnsi"/>
          <w:sz w:val="18"/>
          <w:szCs w:val="18"/>
        </w:rPr>
        <w:footnoteRef/>
      </w:r>
      <w:r w:rsidRPr="0047018F">
        <w:rPr>
          <w:rFonts w:asciiTheme="majorHAnsi" w:hAnsiTheme="majorHAnsi"/>
          <w:sz w:val="18"/>
          <w:szCs w:val="18"/>
        </w:rPr>
        <w:t xml:space="preserve"> https://en.wikipedia.org/wiki/New_York_Times_Co._v._United_States</w:t>
      </w:r>
    </w:p>
  </w:footnote>
  <w:footnote w:id="35">
    <w:p w14:paraId="6ECAEB68" w14:textId="77777777" w:rsidR="00B53FC7" w:rsidRPr="00806429" w:rsidRDefault="00B53FC7">
      <w:pPr>
        <w:pStyle w:val="FootnoteText"/>
        <w:rPr>
          <w:rFonts w:asciiTheme="majorHAnsi" w:hAnsiTheme="majorHAnsi"/>
          <w:sz w:val="18"/>
          <w:szCs w:val="18"/>
          <w:lang w:val="en-US"/>
        </w:rPr>
      </w:pPr>
      <w:r w:rsidRPr="00806429">
        <w:rPr>
          <w:rStyle w:val="FootnoteReference"/>
          <w:rFonts w:asciiTheme="majorHAnsi" w:hAnsiTheme="majorHAnsi"/>
          <w:sz w:val="18"/>
          <w:szCs w:val="18"/>
        </w:rPr>
        <w:footnoteRef/>
      </w:r>
      <w:r w:rsidRPr="00806429">
        <w:rPr>
          <w:rFonts w:asciiTheme="majorHAnsi" w:hAnsiTheme="majorHAnsi"/>
          <w:sz w:val="18"/>
          <w:szCs w:val="18"/>
        </w:rPr>
        <w:t xml:space="preserve">  </w:t>
      </w:r>
      <w:r w:rsidRPr="00806429">
        <w:rPr>
          <w:rFonts w:asciiTheme="majorHAnsi" w:hAnsiTheme="majorHAnsi" w:cs="Verdana"/>
          <w:color w:val="171717"/>
          <w:sz w:val="18"/>
          <w:szCs w:val="18"/>
        </w:rPr>
        <w:t>8 July 1999, Application No. 24246/94 (European Court of Human Rights)</w:t>
      </w:r>
      <w:r w:rsidRPr="00806429">
        <w:rPr>
          <w:rFonts w:asciiTheme="majorHAnsi" w:hAnsiTheme="majorHAnsi"/>
          <w:sz w:val="18"/>
          <w:szCs w:val="18"/>
        </w:rPr>
        <w:t xml:space="preserve"> Summary from ARTICLE 19: </w:t>
      </w:r>
      <w:r>
        <w:rPr>
          <w:rFonts w:asciiTheme="majorHAnsi" w:hAnsiTheme="majorHAnsi"/>
          <w:sz w:val="18"/>
          <w:szCs w:val="18"/>
        </w:rPr>
        <w:t xml:space="preserve"> </w:t>
      </w:r>
      <w:r w:rsidRPr="00806429">
        <w:rPr>
          <w:rFonts w:asciiTheme="majorHAnsi" w:hAnsiTheme="majorHAnsi"/>
          <w:sz w:val="18"/>
          <w:szCs w:val="18"/>
        </w:rPr>
        <w:t>https://www.article19.org/resources.php/resource/2610/en/okcuoglu-v</w:t>
      </w:r>
      <w:proofErr w:type="gramStart"/>
      <w:r w:rsidRPr="00806429">
        <w:rPr>
          <w:rFonts w:asciiTheme="majorHAnsi" w:hAnsiTheme="majorHAnsi"/>
          <w:sz w:val="18"/>
          <w:szCs w:val="18"/>
        </w:rPr>
        <w:t>.-</w:t>
      </w:r>
      <w:proofErr w:type="gramEnd"/>
      <w:r w:rsidRPr="00806429">
        <w:rPr>
          <w:rFonts w:asciiTheme="majorHAnsi" w:hAnsiTheme="majorHAnsi"/>
          <w:sz w:val="18"/>
          <w:szCs w:val="18"/>
        </w:rPr>
        <w:t>turkey</w:t>
      </w:r>
    </w:p>
  </w:footnote>
  <w:footnote w:id="36">
    <w:p w14:paraId="79B5EF23" w14:textId="77777777" w:rsidR="00B53FC7" w:rsidRPr="00913921" w:rsidRDefault="00B53FC7" w:rsidP="00801E58">
      <w:pPr>
        <w:pStyle w:val="FootnoteText"/>
        <w:jc w:val="both"/>
        <w:rPr>
          <w:sz w:val="18"/>
          <w:szCs w:val="18"/>
        </w:rPr>
      </w:pPr>
      <w:r w:rsidRPr="004E3604">
        <w:rPr>
          <w:rStyle w:val="FootnoteReference"/>
          <w:sz w:val="18"/>
          <w:szCs w:val="18"/>
        </w:rPr>
        <w:footnoteRef/>
      </w:r>
      <w:r w:rsidRPr="004E3604">
        <w:rPr>
          <w:sz w:val="18"/>
          <w:szCs w:val="18"/>
        </w:rPr>
        <w:t xml:space="preserve"> </w:t>
      </w:r>
      <w:proofErr w:type="spellStart"/>
      <w:r>
        <w:rPr>
          <w:sz w:val="18"/>
          <w:szCs w:val="18"/>
        </w:rPr>
        <w:t>ECtHR</w:t>
      </w:r>
      <w:proofErr w:type="spellEnd"/>
      <w:r w:rsidRPr="004E3604">
        <w:rPr>
          <w:sz w:val="18"/>
          <w:szCs w:val="18"/>
        </w:rPr>
        <w:t xml:space="preserve">, </w:t>
      </w:r>
      <w:proofErr w:type="spellStart"/>
      <w:r w:rsidRPr="004E3604">
        <w:rPr>
          <w:rStyle w:val="s7d2086b4"/>
          <w:i/>
          <w:sz w:val="18"/>
          <w:szCs w:val="18"/>
        </w:rPr>
        <w:t>Okçuoğlu</w:t>
      </w:r>
      <w:proofErr w:type="spellEnd"/>
      <w:r w:rsidRPr="004E3604">
        <w:rPr>
          <w:rStyle w:val="s7d2086b4"/>
          <w:i/>
          <w:sz w:val="18"/>
          <w:szCs w:val="18"/>
        </w:rPr>
        <w:t xml:space="preserve"> v. Turkey</w:t>
      </w:r>
      <w:r w:rsidRPr="004E3604">
        <w:rPr>
          <w:rStyle w:val="s7d2086b4"/>
          <w:sz w:val="18"/>
          <w:szCs w:val="18"/>
        </w:rPr>
        <w:t xml:space="preserve">, </w:t>
      </w:r>
      <w:r w:rsidRPr="004E3604">
        <w:rPr>
          <w:sz w:val="18"/>
          <w:szCs w:val="18"/>
        </w:rPr>
        <w:t>Application No. 24246/94 (1999).</w:t>
      </w:r>
    </w:p>
  </w:footnote>
  <w:footnote w:id="37">
    <w:p w14:paraId="4DB29760" w14:textId="77777777" w:rsidR="00B53FC7" w:rsidRDefault="00B53FC7" w:rsidP="00B107FC">
      <w:pPr>
        <w:pStyle w:val="FootnoteText"/>
        <w:jc w:val="both"/>
      </w:pPr>
      <w:r>
        <w:rPr>
          <w:rStyle w:val="FootnoteReference"/>
        </w:rPr>
        <w:footnoteRef/>
      </w:r>
      <w:r>
        <w:t xml:space="preserve"> </w:t>
      </w:r>
      <w:r w:rsidRPr="00E56C73">
        <w:rPr>
          <w:i/>
          <w:sz w:val="18"/>
          <w:szCs w:val="18"/>
        </w:rPr>
        <w:t>Id.</w:t>
      </w:r>
    </w:p>
  </w:footnote>
  <w:footnote w:id="38">
    <w:p w14:paraId="56228F35" w14:textId="77777777" w:rsidR="00B53FC7" w:rsidRPr="00E56C73" w:rsidRDefault="00B53FC7" w:rsidP="00801E58">
      <w:pPr>
        <w:pStyle w:val="FootnoteText"/>
        <w:jc w:val="both"/>
        <w:rPr>
          <w:sz w:val="18"/>
          <w:szCs w:val="18"/>
        </w:rPr>
      </w:pPr>
      <w:r w:rsidRPr="00E56C73">
        <w:rPr>
          <w:rStyle w:val="FootnoteReference"/>
          <w:sz w:val="18"/>
          <w:szCs w:val="18"/>
        </w:rPr>
        <w:footnoteRef/>
      </w:r>
      <w:r w:rsidRPr="00E56C73">
        <w:rPr>
          <w:sz w:val="18"/>
          <w:szCs w:val="18"/>
        </w:rPr>
        <w:t xml:space="preserve"> </w:t>
      </w:r>
      <w:proofErr w:type="spellStart"/>
      <w:r>
        <w:rPr>
          <w:sz w:val="18"/>
          <w:szCs w:val="18"/>
        </w:rPr>
        <w:t>ECtHR</w:t>
      </w:r>
      <w:proofErr w:type="spellEnd"/>
      <w:r w:rsidRPr="00E56C73">
        <w:rPr>
          <w:sz w:val="18"/>
          <w:szCs w:val="18"/>
        </w:rPr>
        <w:t xml:space="preserve">, </w:t>
      </w:r>
      <w:r w:rsidRPr="00E56C73">
        <w:rPr>
          <w:i/>
          <w:sz w:val="18"/>
          <w:szCs w:val="18"/>
        </w:rPr>
        <w:t xml:space="preserve">Observer and </w:t>
      </w:r>
      <w:r w:rsidRPr="00E56C73">
        <w:rPr>
          <w:i/>
          <w:sz w:val="18"/>
          <w:szCs w:val="18"/>
          <w:lang w:val="en-US"/>
        </w:rPr>
        <w:t>Guardian v. the United Kingdom</w:t>
      </w:r>
      <w:r w:rsidRPr="00E56C73">
        <w:rPr>
          <w:sz w:val="18"/>
          <w:szCs w:val="18"/>
          <w:lang w:val="en-US"/>
        </w:rPr>
        <w:t>, Application No. 13585/88 (1991).</w:t>
      </w:r>
      <w:r>
        <w:rPr>
          <w:sz w:val="18"/>
          <w:szCs w:val="18"/>
          <w:lang w:val="en-US"/>
        </w:rPr>
        <w:t xml:space="preserve"> Summary done by ARTICLE 19 in: </w:t>
      </w:r>
      <w:r w:rsidRPr="00806429">
        <w:rPr>
          <w:sz w:val="18"/>
          <w:szCs w:val="18"/>
          <w:lang w:val="en-US"/>
        </w:rPr>
        <w:t>https://www.article19.org/resources.php/resource/3110/en/echr</w:t>
      </w:r>
      <w:proofErr w:type="gramStart"/>
      <w:r w:rsidRPr="00806429">
        <w:rPr>
          <w:sz w:val="18"/>
          <w:szCs w:val="18"/>
          <w:lang w:val="en-US"/>
        </w:rPr>
        <w:t>:-</w:t>
      </w:r>
      <w:proofErr w:type="gramEnd"/>
      <w:r w:rsidRPr="00806429">
        <w:rPr>
          <w:sz w:val="18"/>
          <w:szCs w:val="18"/>
          <w:lang w:val="en-US"/>
        </w:rPr>
        <w:t>the-observer-and-guardian-v.-the-united-kingdom</w:t>
      </w:r>
    </w:p>
  </w:footnote>
  <w:footnote w:id="39">
    <w:p w14:paraId="06DCBE79" w14:textId="77777777" w:rsidR="00B53FC7" w:rsidRPr="0072108D" w:rsidRDefault="00B53FC7" w:rsidP="008D3A17">
      <w:pPr>
        <w:pStyle w:val="FootnoteText"/>
        <w:jc w:val="both"/>
        <w:rPr>
          <w:b/>
          <w:i/>
          <w:sz w:val="18"/>
        </w:rPr>
      </w:pPr>
      <w:r w:rsidRPr="00E56C73">
        <w:rPr>
          <w:rStyle w:val="FootnoteReference"/>
          <w:sz w:val="18"/>
          <w:szCs w:val="18"/>
        </w:rPr>
        <w:footnoteRef/>
      </w:r>
      <w:r w:rsidRPr="00E56C73">
        <w:rPr>
          <w:sz w:val="18"/>
          <w:szCs w:val="18"/>
        </w:rPr>
        <w:t xml:space="preserve"> </w:t>
      </w:r>
      <w:proofErr w:type="spellStart"/>
      <w:r>
        <w:rPr>
          <w:sz w:val="18"/>
          <w:szCs w:val="18"/>
        </w:rPr>
        <w:t>ECtHR</w:t>
      </w:r>
      <w:proofErr w:type="spellEnd"/>
      <w:r w:rsidRPr="00E56C73">
        <w:rPr>
          <w:sz w:val="18"/>
          <w:szCs w:val="18"/>
        </w:rPr>
        <w:t>,</w:t>
      </w:r>
      <w:r w:rsidRPr="00E56C73">
        <w:rPr>
          <w:i/>
          <w:sz w:val="18"/>
          <w:szCs w:val="18"/>
        </w:rPr>
        <w:t xml:space="preserve"> </w:t>
      </w:r>
      <w:proofErr w:type="spellStart"/>
      <w:r w:rsidRPr="00E56C73">
        <w:rPr>
          <w:i/>
          <w:sz w:val="18"/>
          <w:szCs w:val="18"/>
        </w:rPr>
        <w:t>Vereniging</w:t>
      </w:r>
      <w:proofErr w:type="spellEnd"/>
      <w:r w:rsidRPr="00E56C73">
        <w:rPr>
          <w:i/>
          <w:sz w:val="18"/>
          <w:szCs w:val="18"/>
        </w:rPr>
        <w:t xml:space="preserve"> </w:t>
      </w:r>
      <w:proofErr w:type="spellStart"/>
      <w:r w:rsidRPr="00E56C73">
        <w:rPr>
          <w:i/>
          <w:sz w:val="18"/>
          <w:szCs w:val="18"/>
        </w:rPr>
        <w:t>Weekblad</w:t>
      </w:r>
      <w:proofErr w:type="spellEnd"/>
      <w:r w:rsidRPr="00E56C73">
        <w:rPr>
          <w:i/>
          <w:sz w:val="18"/>
          <w:szCs w:val="18"/>
        </w:rPr>
        <w:t xml:space="preserve"> </w:t>
      </w:r>
      <w:proofErr w:type="spellStart"/>
      <w:r w:rsidRPr="0072108D">
        <w:rPr>
          <w:i/>
          <w:sz w:val="18"/>
        </w:rPr>
        <w:t>Bluf</w:t>
      </w:r>
      <w:proofErr w:type="spellEnd"/>
      <w:r w:rsidRPr="0072108D">
        <w:rPr>
          <w:i/>
          <w:sz w:val="18"/>
        </w:rPr>
        <w:t>!</w:t>
      </w:r>
      <w:r w:rsidRPr="00E56C73">
        <w:rPr>
          <w:i/>
          <w:sz w:val="18"/>
          <w:szCs w:val="18"/>
        </w:rPr>
        <w:t xml:space="preserve"> v. </w:t>
      </w:r>
      <w:proofErr w:type="gramStart"/>
      <w:r w:rsidRPr="00E56C73">
        <w:rPr>
          <w:i/>
          <w:sz w:val="18"/>
          <w:szCs w:val="18"/>
        </w:rPr>
        <w:t>the</w:t>
      </w:r>
      <w:proofErr w:type="gramEnd"/>
      <w:r w:rsidRPr="00E56C73">
        <w:rPr>
          <w:i/>
          <w:sz w:val="18"/>
          <w:szCs w:val="18"/>
        </w:rPr>
        <w:t xml:space="preserve"> Netherlands</w:t>
      </w:r>
      <w:r w:rsidRPr="00E56C73">
        <w:rPr>
          <w:sz w:val="18"/>
          <w:szCs w:val="18"/>
        </w:rPr>
        <w:t>,</w:t>
      </w:r>
      <w:r w:rsidRPr="00E56C73">
        <w:rPr>
          <w:b/>
          <w:i/>
          <w:sz w:val="18"/>
          <w:szCs w:val="18"/>
        </w:rPr>
        <w:t xml:space="preserve"> </w:t>
      </w:r>
      <w:r w:rsidRPr="00E56C73">
        <w:rPr>
          <w:sz w:val="18"/>
          <w:szCs w:val="18"/>
        </w:rPr>
        <w:t>Application No. 16616/90 (1995).</w:t>
      </w:r>
    </w:p>
  </w:footnote>
  <w:footnote w:id="40">
    <w:p w14:paraId="5D83CFBE" w14:textId="77777777" w:rsidR="00B53FC7" w:rsidRPr="00801E58" w:rsidRDefault="00B53FC7" w:rsidP="00320F8B">
      <w:pPr>
        <w:pStyle w:val="FootnoteText"/>
        <w:rPr>
          <w:rFonts w:asciiTheme="majorHAnsi" w:hAnsiTheme="majorHAnsi"/>
          <w:sz w:val="18"/>
          <w:szCs w:val="18"/>
          <w:lang w:val="en-US"/>
        </w:rPr>
      </w:pPr>
      <w:r w:rsidRPr="00801E58">
        <w:rPr>
          <w:rStyle w:val="FootnoteReference"/>
          <w:rFonts w:asciiTheme="majorHAnsi" w:hAnsiTheme="majorHAnsi"/>
          <w:sz w:val="18"/>
          <w:szCs w:val="18"/>
        </w:rPr>
        <w:footnoteRef/>
      </w:r>
      <w:r w:rsidRPr="00801E58">
        <w:rPr>
          <w:rFonts w:asciiTheme="majorHAnsi" w:hAnsiTheme="majorHAnsi"/>
          <w:sz w:val="18"/>
          <w:szCs w:val="18"/>
        </w:rPr>
        <w:t xml:space="preserve"> </w:t>
      </w:r>
      <w:proofErr w:type="gramStart"/>
      <w:r w:rsidRPr="00801E58">
        <w:rPr>
          <w:rFonts w:asciiTheme="majorHAnsi" w:hAnsiTheme="majorHAnsi"/>
          <w:sz w:val="18"/>
          <w:szCs w:val="18"/>
          <w:lang w:val="en-US"/>
        </w:rPr>
        <w:t xml:space="preserve">MLDI, 2015, </w:t>
      </w:r>
      <w:proofErr w:type="spellStart"/>
      <w:r w:rsidRPr="00801E58">
        <w:rPr>
          <w:rFonts w:asciiTheme="majorHAnsi" w:hAnsiTheme="majorHAnsi"/>
          <w:sz w:val="18"/>
          <w:szCs w:val="18"/>
          <w:lang w:val="en-US"/>
        </w:rPr>
        <w:t>Op.Cit</w:t>
      </w:r>
      <w:proofErr w:type="spellEnd"/>
      <w:r w:rsidRPr="00801E58">
        <w:rPr>
          <w:rFonts w:asciiTheme="majorHAnsi" w:hAnsiTheme="majorHAnsi"/>
          <w:sz w:val="18"/>
          <w:szCs w:val="18"/>
          <w:lang w:val="en-US"/>
        </w:rPr>
        <w:t>.</w:t>
      </w:r>
      <w:proofErr w:type="gramEnd"/>
    </w:p>
  </w:footnote>
  <w:footnote w:id="41">
    <w:p w14:paraId="24C5972C" w14:textId="77777777" w:rsidR="00B53FC7" w:rsidRPr="00801E58" w:rsidRDefault="00B53FC7" w:rsidP="00320F8B">
      <w:pPr>
        <w:pStyle w:val="FootnoteText"/>
        <w:jc w:val="both"/>
        <w:rPr>
          <w:rFonts w:asciiTheme="majorHAnsi" w:hAnsiTheme="majorHAnsi"/>
          <w:sz w:val="18"/>
          <w:szCs w:val="18"/>
        </w:rPr>
      </w:pPr>
      <w:r w:rsidRPr="00801E58">
        <w:rPr>
          <w:rStyle w:val="FootnoteReference"/>
          <w:rFonts w:asciiTheme="majorHAnsi" w:hAnsiTheme="majorHAnsi"/>
          <w:sz w:val="18"/>
          <w:szCs w:val="18"/>
        </w:rPr>
        <w:footnoteRef/>
      </w:r>
      <w:r w:rsidRPr="00801E58">
        <w:rPr>
          <w:rFonts w:asciiTheme="majorHAnsi" w:hAnsiTheme="majorHAnsi"/>
          <w:sz w:val="18"/>
          <w:szCs w:val="18"/>
        </w:rPr>
        <w:t xml:space="preserve"> UNHRC, </w:t>
      </w:r>
      <w:proofErr w:type="spellStart"/>
      <w:r w:rsidRPr="00801E58">
        <w:rPr>
          <w:rFonts w:asciiTheme="majorHAnsi" w:hAnsiTheme="majorHAnsi"/>
          <w:i/>
          <w:sz w:val="18"/>
          <w:szCs w:val="18"/>
        </w:rPr>
        <w:t>Womah</w:t>
      </w:r>
      <w:proofErr w:type="spellEnd"/>
      <w:r w:rsidRPr="00801E58">
        <w:rPr>
          <w:rFonts w:asciiTheme="majorHAnsi" w:hAnsiTheme="majorHAnsi"/>
          <w:i/>
          <w:sz w:val="18"/>
          <w:szCs w:val="18"/>
        </w:rPr>
        <w:t xml:space="preserve"> </w:t>
      </w:r>
      <w:proofErr w:type="spellStart"/>
      <w:r w:rsidRPr="00801E58">
        <w:rPr>
          <w:rFonts w:asciiTheme="majorHAnsi" w:hAnsiTheme="majorHAnsi"/>
          <w:i/>
          <w:sz w:val="18"/>
          <w:szCs w:val="18"/>
        </w:rPr>
        <w:t>Mukong</w:t>
      </w:r>
      <w:proofErr w:type="spellEnd"/>
      <w:r w:rsidRPr="00801E58">
        <w:rPr>
          <w:rFonts w:asciiTheme="majorHAnsi" w:hAnsiTheme="majorHAnsi"/>
          <w:i/>
          <w:sz w:val="18"/>
          <w:szCs w:val="18"/>
        </w:rPr>
        <w:t xml:space="preserve"> v. Cameroon</w:t>
      </w:r>
      <w:r w:rsidRPr="00801E58">
        <w:rPr>
          <w:rFonts w:asciiTheme="majorHAnsi" w:hAnsiTheme="majorHAnsi"/>
          <w:sz w:val="18"/>
          <w:szCs w:val="18"/>
        </w:rPr>
        <w:t xml:space="preserve">, Communication No. 458/1991, UN Doc. No. </w:t>
      </w:r>
      <w:proofErr w:type="gramStart"/>
      <w:r w:rsidRPr="00801E58">
        <w:rPr>
          <w:rFonts w:asciiTheme="majorHAnsi" w:hAnsiTheme="majorHAnsi"/>
          <w:sz w:val="18"/>
          <w:szCs w:val="18"/>
        </w:rPr>
        <w:t>CCPR/C/51/D/458/1991 (1994).</w:t>
      </w:r>
      <w:proofErr w:type="gramEnd"/>
    </w:p>
  </w:footnote>
  <w:footnote w:id="42">
    <w:p w14:paraId="4B454315" w14:textId="77777777" w:rsidR="00B53FC7" w:rsidRPr="00B6712D" w:rsidRDefault="00B53FC7" w:rsidP="00320F8B">
      <w:pPr>
        <w:pStyle w:val="FootnoteText"/>
        <w:rPr>
          <w:sz w:val="18"/>
          <w:szCs w:val="18"/>
        </w:rPr>
      </w:pPr>
      <w:r w:rsidRPr="00B6712D">
        <w:rPr>
          <w:rStyle w:val="FootnoteReference"/>
          <w:sz w:val="18"/>
          <w:szCs w:val="18"/>
        </w:rPr>
        <w:footnoteRef/>
      </w:r>
      <w:r w:rsidRPr="00B6712D">
        <w:rPr>
          <w:sz w:val="18"/>
          <w:szCs w:val="18"/>
        </w:rPr>
        <w:t xml:space="preserve"> </w:t>
      </w:r>
      <w:proofErr w:type="gramStart"/>
      <w:r w:rsidRPr="00B6712D">
        <w:rPr>
          <w:i/>
          <w:iCs/>
          <w:sz w:val="18"/>
          <w:szCs w:val="18"/>
        </w:rPr>
        <w:t>Id.,</w:t>
      </w:r>
      <w:r w:rsidRPr="00B6712D">
        <w:rPr>
          <w:i/>
          <w:iCs/>
          <w:sz w:val="18"/>
          <w:szCs w:val="18"/>
          <w:u w:val="single"/>
        </w:rPr>
        <w:t xml:space="preserve"> </w:t>
      </w:r>
      <w:r w:rsidRPr="00B6712D">
        <w:rPr>
          <w:sz w:val="18"/>
          <w:szCs w:val="18"/>
        </w:rPr>
        <w:t>par. 9.7.</w:t>
      </w:r>
      <w:proofErr w:type="gramEnd"/>
      <w:r w:rsidRPr="00B6712D">
        <w:rPr>
          <w:sz w:val="18"/>
          <w:szCs w:val="18"/>
        </w:rPr>
        <w:t xml:space="preserve"> </w:t>
      </w:r>
    </w:p>
  </w:footnote>
  <w:footnote w:id="43">
    <w:p w14:paraId="7668EDC9" w14:textId="77777777" w:rsidR="00B53FC7" w:rsidRPr="0047018F" w:rsidRDefault="00B53FC7" w:rsidP="0047018F">
      <w:pPr>
        <w:pStyle w:val="FootnoteText"/>
        <w:rPr>
          <w:rFonts w:asciiTheme="majorHAnsi" w:hAnsiTheme="majorHAnsi"/>
          <w:sz w:val="18"/>
          <w:szCs w:val="18"/>
          <w:lang w:val="en-US"/>
        </w:rPr>
      </w:pPr>
      <w:r w:rsidRPr="0047018F">
        <w:rPr>
          <w:rStyle w:val="FootnoteReference"/>
          <w:rFonts w:asciiTheme="majorHAnsi" w:hAnsiTheme="majorHAnsi" w:cstheme="majorBidi"/>
          <w:sz w:val="18"/>
          <w:szCs w:val="18"/>
        </w:rPr>
        <w:footnoteRef/>
      </w:r>
      <w:r w:rsidRPr="0047018F">
        <w:rPr>
          <w:rStyle w:val="FootnoteReference"/>
          <w:rFonts w:asciiTheme="majorHAnsi" w:hAnsiTheme="majorHAnsi" w:cstheme="majorBidi"/>
          <w:sz w:val="18"/>
          <w:szCs w:val="18"/>
        </w:rPr>
        <w:t xml:space="preserve"> </w:t>
      </w:r>
      <w:r w:rsidRPr="0047018F">
        <w:rPr>
          <w:rFonts w:asciiTheme="majorHAnsi" w:hAnsiTheme="majorHAnsi" w:cstheme="majorBidi"/>
          <w:sz w:val="18"/>
          <w:szCs w:val="18"/>
        </w:rPr>
        <w:t xml:space="preserve">See: </w:t>
      </w:r>
      <w:proofErr w:type="spellStart"/>
      <w:r w:rsidRPr="0047018F">
        <w:rPr>
          <w:rFonts w:asciiTheme="majorHAnsi" w:hAnsiTheme="majorHAnsi" w:cstheme="majorBidi"/>
          <w:sz w:val="18"/>
          <w:szCs w:val="18"/>
        </w:rPr>
        <w:t>Marathe</w:t>
      </w:r>
      <w:proofErr w:type="spellEnd"/>
      <w:r w:rsidRPr="0047018F">
        <w:rPr>
          <w:rFonts w:asciiTheme="majorHAnsi" w:hAnsiTheme="majorHAnsi" w:cstheme="majorBidi"/>
          <w:sz w:val="18"/>
          <w:szCs w:val="18"/>
        </w:rPr>
        <w:t xml:space="preserve"> v State of Maharashtra, </w:t>
      </w:r>
      <w:hyperlink r:id="rId1" w:history="1">
        <w:r w:rsidRPr="0047018F">
          <w:rPr>
            <w:rStyle w:val="Hyperlink"/>
            <w:rFonts w:asciiTheme="majorHAnsi" w:hAnsiTheme="majorHAnsi" w:cstheme="majorBidi"/>
            <w:sz w:val="18"/>
            <w:szCs w:val="18"/>
          </w:rPr>
          <w:t>https://globalfreedomofexpression.columbia.edu/cases/marathe-v-the-state-</w:t>
        </w:r>
      </w:hyperlink>
      <w:r w:rsidRPr="0047018F">
        <w:rPr>
          <w:rFonts w:asciiTheme="majorHAnsi" w:hAnsiTheme="majorHAnsi" w:cstheme="majorBidi"/>
          <w:sz w:val="18"/>
          <w:szCs w:val="18"/>
        </w:rPr>
        <w:t xml:space="preserve"> of-</w:t>
      </w:r>
      <w:proofErr w:type="spellStart"/>
      <w:r w:rsidRPr="0047018F">
        <w:rPr>
          <w:rFonts w:asciiTheme="majorHAnsi" w:hAnsiTheme="majorHAnsi" w:cstheme="majorBidi"/>
          <w:sz w:val="18"/>
          <w:szCs w:val="18"/>
        </w:rPr>
        <w:t>maharashtra</w:t>
      </w:r>
      <w:proofErr w:type="spellEnd"/>
      <w:r w:rsidRPr="0047018F">
        <w:rPr>
          <w:rFonts w:asciiTheme="majorHAnsi" w:hAnsiTheme="majorHAnsi" w:cstheme="majorBidi"/>
          <w:sz w:val="18"/>
          <w:szCs w:val="18"/>
        </w:rPr>
        <w:t>/</w:t>
      </w:r>
    </w:p>
  </w:footnote>
  <w:footnote w:id="44">
    <w:p w14:paraId="04AB6E26" w14:textId="77777777" w:rsidR="00B53FC7" w:rsidRPr="00C21127" w:rsidRDefault="00B53FC7" w:rsidP="00167263">
      <w:pPr>
        <w:pStyle w:val="FootnoteText"/>
        <w:rPr>
          <w:rFonts w:asciiTheme="majorHAnsi" w:hAnsiTheme="majorHAnsi"/>
          <w:sz w:val="18"/>
          <w:szCs w:val="18"/>
          <w:lang w:val="en-US"/>
        </w:rPr>
      </w:pPr>
      <w:r>
        <w:rPr>
          <w:rStyle w:val="FootnoteReference"/>
        </w:rPr>
        <w:footnoteRef/>
      </w:r>
      <w:r>
        <w:t xml:space="preserve"> </w:t>
      </w:r>
      <w:r w:rsidRPr="00C21127">
        <w:rPr>
          <w:rFonts w:asciiTheme="majorHAnsi" w:hAnsiTheme="majorHAnsi"/>
          <w:sz w:val="18"/>
          <w:szCs w:val="18"/>
        </w:rPr>
        <w:t>C</w:t>
      </w:r>
      <w:r w:rsidRPr="00C21127">
        <w:rPr>
          <w:rFonts w:ascii="Calibri" w:hAnsi="Calibri" w:cs="Calibri"/>
          <w:sz w:val="18"/>
          <w:szCs w:val="18"/>
        </w:rPr>
        <w:t xml:space="preserve">ase 14-049903AST-BORG/01 14-174730AST-BORG/01, Court Supreme, </w:t>
      </w:r>
      <w:proofErr w:type="spellStart"/>
      <w:r w:rsidRPr="00C21127">
        <w:rPr>
          <w:rFonts w:ascii="Calibri" w:hAnsi="Calibri" w:cs="Calibri"/>
          <w:sz w:val="18"/>
          <w:szCs w:val="18"/>
        </w:rPr>
        <w:t>Norvege</w:t>
      </w:r>
      <w:proofErr w:type="spellEnd"/>
      <w:r w:rsidRPr="00C21127">
        <w:rPr>
          <w:rFonts w:ascii="Calibri" w:hAnsi="Calibri" w:cs="Calibri"/>
          <w:sz w:val="18"/>
          <w:szCs w:val="18"/>
        </w:rPr>
        <w:t>, November 2015, https://www.domstol.no/globalassets/upload/borg/internett/forside-nyheter/14-049903ast-borg-trusler-mm.pdf</w:t>
      </w:r>
    </w:p>
    <w:p w14:paraId="75F64A11" w14:textId="64D97005" w:rsidR="00B53FC7" w:rsidRPr="00167263" w:rsidRDefault="00B53FC7">
      <w:pPr>
        <w:pStyle w:val="FootnoteText"/>
        <w:rPr>
          <w:lang w:val="en-US"/>
        </w:rPr>
      </w:pPr>
    </w:p>
  </w:footnote>
  <w:footnote w:id="45">
    <w:p w14:paraId="09A0DFC2" w14:textId="77777777" w:rsidR="00B53FC7" w:rsidRPr="00272F1D" w:rsidRDefault="00B53FC7" w:rsidP="00422DDE">
      <w:pPr>
        <w:pStyle w:val="FootnoteText"/>
        <w:ind w:left="180" w:hanging="180"/>
        <w:rPr>
          <w:rFonts w:asciiTheme="majorHAnsi" w:hAnsiTheme="majorHAnsi" w:cstheme="majorBidi"/>
          <w:sz w:val="18"/>
          <w:szCs w:val="18"/>
          <w:lang w:val="en-US"/>
        </w:rPr>
      </w:pPr>
      <w:r w:rsidRPr="000B0A10">
        <w:rPr>
          <w:rStyle w:val="FootnoteReference"/>
          <w:rFonts w:asciiTheme="majorHAnsi" w:hAnsiTheme="majorHAnsi" w:cstheme="majorBidi"/>
          <w:sz w:val="18"/>
          <w:szCs w:val="18"/>
        </w:rPr>
        <w:footnoteRef/>
      </w:r>
      <w:r w:rsidRPr="000B0A10">
        <w:rPr>
          <w:rFonts w:asciiTheme="majorHAnsi" w:hAnsiTheme="majorHAnsi" w:cstheme="majorBidi"/>
          <w:sz w:val="18"/>
          <w:szCs w:val="18"/>
        </w:rPr>
        <w:t xml:space="preserve"> </w:t>
      </w:r>
      <w:r w:rsidRPr="000B0A10">
        <w:rPr>
          <w:rFonts w:asciiTheme="majorHAnsi" w:hAnsiTheme="majorHAnsi" w:cstheme="majorBidi"/>
          <w:sz w:val="18"/>
          <w:szCs w:val="18"/>
          <w:lang w:val="en-US"/>
        </w:rPr>
        <w:t xml:space="preserve">See </w:t>
      </w:r>
      <w:r w:rsidRPr="00272F1D">
        <w:rPr>
          <w:rFonts w:asciiTheme="majorHAnsi" w:hAnsiTheme="majorHAnsi" w:cstheme="majorBidi"/>
          <w:sz w:val="18"/>
          <w:szCs w:val="18"/>
          <w:lang w:val="en-US"/>
        </w:rPr>
        <w:t>Rabat Plan of Action, available at &lt;</w:t>
      </w:r>
      <w:r w:rsidRPr="00272F1D">
        <w:rPr>
          <w:rFonts w:asciiTheme="majorHAnsi" w:hAnsiTheme="majorHAnsi" w:cstheme="majorBidi"/>
          <w:sz w:val="18"/>
          <w:szCs w:val="18"/>
        </w:rPr>
        <w:t xml:space="preserve"> </w:t>
      </w:r>
      <w:r w:rsidRPr="00272F1D">
        <w:rPr>
          <w:rFonts w:asciiTheme="majorHAnsi" w:hAnsiTheme="majorHAnsi" w:cstheme="majorBidi"/>
          <w:sz w:val="18"/>
          <w:szCs w:val="18"/>
          <w:lang w:val="en-US"/>
        </w:rPr>
        <w:t xml:space="preserve">http://www.un.org/en/preventgenocide/adviser/pdf/Rabat_draft_outcome.pdf &gt;. On this plan and for a comprehensive analysis of Article 20(2) ICCPR, see </w:t>
      </w:r>
      <w:proofErr w:type="spellStart"/>
      <w:r w:rsidRPr="00272F1D">
        <w:rPr>
          <w:rFonts w:asciiTheme="majorHAnsi" w:hAnsiTheme="majorHAnsi" w:cstheme="majorBidi"/>
          <w:sz w:val="18"/>
          <w:szCs w:val="18"/>
          <w:lang w:val="en-US"/>
        </w:rPr>
        <w:t>Jeroen</w:t>
      </w:r>
      <w:proofErr w:type="spellEnd"/>
      <w:r w:rsidRPr="00272F1D">
        <w:rPr>
          <w:rFonts w:asciiTheme="majorHAnsi" w:hAnsiTheme="majorHAnsi" w:cstheme="majorBidi"/>
          <w:sz w:val="18"/>
          <w:szCs w:val="18"/>
          <w:lang w:val="en-US"/>
        </w:rPr>
        <w:t xml:space="preserve"> </w:t>
      </w:r>
      <w:proofErr w:type="spellStart"/>
      <w:r w:rsidRPr="00272F1D">
        <w:rPr>
          <w:rFonts w:asciiTheme="majorHAnsi" w:hAnsiTheme="majorHAnsi" w:cstheme="majorBidi"/>
          <w:sz w:val="18"/>
          <w:szCs w:val="18"/>
          <w:lang w:val="en-US"/>
        </w:rPr>
        <w:t>Temperman</w:t>
      </w:r>
      <w:proofErr w:type="spellEnd"/>
      <w:r w:rsidRPr="00272F1D">
        <w:rPr>
          <w:rFonts w:asciiTheme="majorHAnsi" w:hAnsiTheme="majorHAnsi" w:cstheme="majorBidi"/>
          <w:sz w:val="18"/>
          <w:szCs w:val="18"/>
          <w:lang w:val="en-US"/>
        </w:rPr>
        <w:t xml:space="preserve">, </w:t>
      </w:r>
      <w:r w:rsidRPr="00272F1D">
        <w:rPr>
          <w:rFonts w:asciiTheme="majorHAnsi" w:hAnsiTheme="majorHAnsi" w:cstheme="majorBidi"/>
          <w:i/>
          <w:sz w:val="18"/>
          <w:szCs w:val="18"/>
          <w:lang w:val="en-US"/>
        </w:rPr>
        <w:t xml:space="preserve">Religious Hatred and International Law: The Prohibition of Incitement to Violence or Discrimination </w:t>
      </w:r>
      <w:r w:rsidRPr="00272F1D">
        <w:rPr>
          <w:rFonts w:asciiTheme="majorHAnsi" w:hAnsiTheme="majorHAnsi" w:cstheme="majorBidi"/>
          <w:sz w:val="18"/>
          <w:szCs w:val="18"/>
          <w:lang w:val="en-US"/>
        </w:rPr>
        <w:t xml:space="preserve">(Cambridge: Cambridge University Press, 2016), developing the requirement of a ‘triangle of incitement’. </w:t>
      </w:r>
    </w:p>
  </w:footnote>
  <w:footnote w:id="46">
    <w:p w14:paraId="7BB4D95C" w14:textId="77777777" w:rsidR="00B53FC7" w:rsidRPr="00272F1D" w:rsidRDefault="00B53FC7" w:rsidP="00422DDE">
      <w:pPr>
        <w:pStyle w:val="FootnoteText"/>
        <w:ind w:left="180" w:hanging="180"/>
        <w:rPr>
          <w:rFonts w:asciiTheme="majorHAnsi" w:hAnsiTheme="majorHAnsi" w:cstheme="majorBidi"/>
          <w:sz w:val="18"/>
          <w:szCs w:val="18"/>
          <w:lang w:val="en-US"/>
        </w:rPr>
      </w:pPr>
      <w:r w:rsidRPr="00272F1D">
        <w:rPr>
          <w:rStyle w:val="FootnoteReference"/>
          <w:rFonts w:asciiTheme="majorHAnsi" w:hAnsiTheme="majorHAnsi" w:cstheme="majorBidi"/>
          <w:sz w:val="18"/>
          <w:szCs w:val="18"/>
        </w:rPr>
        <w:footnoteRef/>
      </w:r>
      <w:r w:rsidRPr="00272F1D">
        <w:rPr>
          <w:rFonts w:asciiTheme="majorHAnsi" w:hAnsiTheme="majorHAnsi" w:cstheme="majorBidi"/>
          <w:sz w:val="18"/>
          <w:szCs w:val="18"/>
        </w:rPr>
        <w:t xml:space="preserve"> Jack </w:t>
      </w:r>
      <w:proofErr w:type="spellStart"/>
      <w:r w:rsidRPr="00272F1D">
        <w:rPr>
          <w:rFonts w:asciiTheme="majorHAnsi" w:hAnsiTheme="majorHAnsi" w:cstheme="majorBidi"/>
          <w:sz w:val="18"/>
          <w:szCs w:val="18"/>
        </w:rPr>
        <w:t>Mchangama</w:t>
      </w:r>
      <w:proofErr w:type="spellEnd"/>
      <w:r w:rsidRPr="00272F1D">
        <w:rPr>
          <w:rFonts w:asciiTheme="majorHAnsi" w:hAnsiTheme="majorHAnsi" w:cstheme="majorBidi"/>
          <w:sz w:val="18"/>
          <w:szCs w:val="18"/>
        </w:rPr>
        <w:t>, ‘</w:t>
      </w:r>
      <w:r w:rsidRPr="00272F1D">
        <w:rPr>
          <w:rFonts w:asciiTheme="majorHAnsi" w:hAnsiTheme="majorHAnsi" w:cstheme="majorBidi"/>
          <w:bCs/>
          <w:sz w:val="18"/>
          <w:szCs w:val="18"/>
        </w:rPr>
        <w:t xml:space="preserve">Drawing the line between free speech and online radicalisation’, in </w:t>
      </w:r>
      <w:r w:rsidRPr="00272F1D">
        <w:rPr>
          <w:rFonts w:asciiTheme="majorHAnsi" w:hAnsiTheme="majorHAnsi" w:cstheme="majorBidi"/>
          <w:bCs/>
          <w:i/>
          <w:sz w:val="18"/>
          <w:szCs w:val="18"/>
        </w:rPr>
        <w:t>Open Democracy</w:t>
      </w:r>
      <w:r w:rsidRPr="00272F1D">
        <w:rPr>
          <w:rFonts w:asciiTheme="majorHAnsi" w:hAnsiTheme="majorHAnsi" w:cstheme="majorBidi"/>
          <w:bCs/>
          <w:sz w:val="18"/>
          <w:szCs w:val="18"/>
        </w:rPr>
        <w:t xml:space="preserve"> (3 July 2015), available at &lt;https://www.opendemocracy.net/digitaliberties/jacob-mchangama/where-do-you-draw-line-between-free-speech-and-promotion-of-terroris&gt;.</w:t>
      </w:r>
    </w:p>
  </w:footnote>
  <w:footnote w:id="47">
    <w:p w14:paraId="39CECEE3" w14:textId="77777777" w:rsidR="00B53FC7" w:rsidRPr="007E61AD" w:rsidRDefault="00B53FC7" w:rsidP="00686233">
      <w:pPr>
        <w:pStyle w:val="FootnoteText"/>
        <w:rPr>
          <w:lang w:val="en-US"/>
        </w:rPr>
      </w:pPr>
      <w:r w:rsidRPr="00272F1D">
        <w:rPr>
          <w:rStyle w:val="FootnoteReference"/>
          <w:rFonts w:asciiTheme="majorHAnsi" w:hAnsiTheme="majorHAnsi"/>
          <w:sz w:val="18"/>
          <w:szCs w:val="18"/>
        </w:rPr>
        <w:footnoteRef/>
      </w:r>
      <w:r w:rsidRPr="00272F1D">
        <w:rPr>
          <w:rFonts w:asciiTheme="majorHAnsi" w:hAnsiTheme="majorHAnsi"/>
          <w:sz w:val="18"/>
          <w:szCs w:val="18"/>
        </w:rPr>
        <w:t xml:space="preserve"> </w:t>
      </w:r>
      <w:r w:rsidRPr="00272F1D">
        <w:rPr>
          <w:rFonts w:asciiTheme="majorHAnsi" w:hAnsiTheme="majorHAnsi"/>
          <w:sz w:val="18"/>
          <w:szCs w:val="18"/>
          <w:lang w:val="en-US"/>
        </w:rPr>
        <w:t>See: The Case of the Russian Consumer Rights Protection Agency https://globalfreedomofexpression.columbia.edu/cases/case-of-russian-consumer-rights-protection-societys-extremist-statement/</w:t>
      </w:r>
    </w:p>
  </w:footnote>
  <w:footnote w:id="48">
    <w:p w14:paraId="2F61D48B" w14:textId="6C0DD792" w:rsidR="00B53FC7" w:rsidRPr="006D6209" w:rsidRDefault="00B53FC7">
      <w:pPr>
        <w:pStyle w:val="FootnoteText"/>
        <w:rPr>
          <w:rFonts w:asciiTheme="majorHAnsi" w:hAnsiTheme="majorHAnsi"/>
          <w:sz w:val="18"/>
          <w:szCs w:val="18"/>
          <w:lang w:val="en-US"/>
        </w:rPr>
      </w:pPr>
      <w:r w:rsidRPr="006D6209">
        <w:rPr>
          <w:rStyle w:val="FootnoteReference"/>
          <w:rFonts w:asciiTheme="majorHAnsi" w:hAnsiTheme="majorHAnsi"/>
          <w:sz w:val="18"/>
          <w:szCs w:val="18"/>
        </w:rPr>
        <w:footnoteRef/>
      </w:r>
      <w:r w:rsidRPr="006D6209">
        <w:rPr>
          <w:rFonts w:asciiTheme="majorHAnsi" w:hAnsiTheme="majorHAnsi"/>
          <w:sz w:val="18"/>
          <w:szCs w:val="18"/>
        </w:rPr>
        <w:t xml:space="preserve"> </w:t>
      </w:r>
      <w:r>
        <w:rPr>
          <w:rFonts w:asciiTheme="majorHAnsi" w:hAnsiTheme="majorHAnsi"/>
          <w:sz w:val="18"/>
          <w:szCs w:val="18"/>
        </w:rPr>
        <w:t xml:space="preserve">Extract from </w:t>
      </w:r>
      <w:r w:rsidRPr="006D6209">
        <w:rPr>
          <w:rFonts w:asciiTheme="majorHAnsi" w:hAnsiTheme="majorHAnsi"/>
          <w:sz w:val="18"/>
          <w:szCs w:val="18"/>
          <w:lang w:val="en-US"/>
        </w:rPr>
        <w:t>Agnes Callamard, A Typology of Hate and Incitement Speech, 2016, forthcoming</w:t>
      </w:r>
    </w:p>
  </w:footnote>
  <w:footnote w:id="49">
    <w:p w14:paraId="756B83EA" w14:textId="77777777" w:rsidR="00B53FC7" w:rsidRPr="006D6209" w:rsidRDefault="00B53FC7" w:rsidP="00136F69">
      <w:pPr>
        <w:widowControl w:val="0"/>
        <w:tabs>
          <w:tab w:val="left" w:pos="220"/>
          <w:tab w:val="left" w:pos="720"/>
        </w:tabs>
        <w:autoSpaceDE w:val="0"/>
        <w:autoSpaceDN w:val="0"/>
        <w:adjustRightInd w:val="0"/>
        <w:rPr>
          <w:rFonts w:asciiTheme="majorHAnsi" w:hAnsiTheme="majorHAnsi" w:cs="Times"/>
          <w:sz w:val="18"/>
          <w:szCs w:val="18"/>
        </w:rPr>
      </w:pPr>
      <w:r w:rsidRPr="006D6209">
        <w:rPr>
          <w:rStyle w:val="FootnoteReference"/>
          <w:rFonts w:asciiTheme="majorHAnsi" w:hAnsiTheme="majorHAnsi"/>
          <w:sz w:val="18"/>
          <w:szCs w:val="18"/>
        </w:rPr>
        <w:footnoteRef/>
      </w:r>
      <w:r w:rsidRPr="006D6209">
        <w:rPr>
          <w:rFonts w:asciiTheme="majorHAnsi" w:hAnsiTheme="majorHAnsi"/>
          <w:sz w:val="18"/>
          <w:szCs w:val="18"/>
        </w:rPr>
        <w:t xml:space="preserve"> </w:t>
      </w:r>
      <w:r w:rsidRPr="006D6209">
        <w:rPr>
          <w:rFonts w:asciiTheme="majorHAnsi" w:hAnsiTheme="majorHAnsi" w:cs="Times New Roman"/>
          <w:sz w:val="18"/>
          <w:szCs w:val="18"/>
        </w:rPr>
        <w:t xml:space="preserve">See communication No. 633/95, </w:t>
      </w:r>
      <w:r w:rsidRPr="006D6209">
        <w:rPr>
          <w:rFonts w:asciiTheme="majorHAnsi" w:hAnsiTheme="majorHAnsi" w:cs="Times"/>
          <w:sz w:val="18"/>
          <w:szCs w:val="18"/>
        </w:rPr>
        <w:t>Gauthier v. Canada</w:t>
      </w:r>
      <w:r w:rsidRPr="006D6209">
        <w:rPr>
          <w:rFonts w:asciiTheme="majorHAnsi" w:hAnsiTheme="majorHAnsi" w:cs="Times New Roman"/>
          <w:sz w:val="18"/>
          <w:szCs w:val="18"/>
        </w:rPr>
        <w:t xml:space="preserve">. </w:t>
      </w:r>
      <w:r w:rsidRPr="006D6209">
        <w:rPr>
          <w:rFonts w:asciiTheme="majorHAnsi" w:hAnsiTheme="majorHAnsi" w:cs="Times"/>
          <w:sz w:val="18"/>
          <w:szCs w:val="18"/>
        </w:rPr>
        <w:t> </w:t>
      </w:r>
    </w:p>
  </w:footnote>
  <w:footnote w:id="50">
    <w:p w14:paraId="38B0A656" w14:textId="77777777" w:rsidR="00B53FC7" w:rsidRPr="006D6209" w:rsidRDefault="00B53FC7" w:rsidP="00136F69">
      <w:pPr>
        <w:widowControl w:val="0"/>
        <w:tabs>
          <w:tab w:val="left" w:pos="220"/>
          <w:tab w:val="left" w:pos="720"/>
        </w:tabs>
        <w:autoSpaceDE w:val="0"/>
        <w:autoSpaceDN w:val="0"/>
        <w:adjustRightInd w:val="0"/>
        <w:rPr>
          <w:rFonts w:asciiTheme="majorHAnsi" w:hAnsiTheme="majorHAnsi" w:cs="Times"/>
          <w:sz w:val="18"/>
          <w:szCs w:val="18"/>
        </w:rPr>
      </w:pPr>
      <w:r w:rsidRPr="006D6209">
        <w:rPr>
          <w:rStyle w:val="FootnoteReference"/>
          <w:rFonts w:asciiTheme="majorHAnsi" w:hAnsiTheme="majorHAnsi"/>
          <w:sz w:val="18"/>
          <w:szCs w:val="18"/>
        </w:rPr>
        <w:footnoteRef/>
      </w:r>
      <w:r w:rsidRPr="006D6209">
        <w:rPr>
          <w:rFonts w:asciiTheme="majorHAnsi" w:hAnsiTheme="majorHAnsi"/>
          <w:sz w:val="18"/>
          <w:szCs w:val="18"/>
        </w:rPr>
        <w:t xml:space="preserve"> </w:t>
      </w:r>
      <w:r w:rsidRPr="006D6209">
        <w:rPr>
          <w:rFonts w:asciiTheme="majorHAnsi" w:hAnsiTheme="majorHAnsi" w:cs="Times New Roman"/>
          <w:sz w:val="18"/>
          <w:szCs w:val="18"/>
        </w:rPr>
        <w:t xml:space="preserve">See communication No. 1373/2005, </w:t>
      </w:r>
      <w:proofErr w:type="spellStart"/>
      <w:r w:rsidRPr="006D6209">
        <w:rPr>
          <w:rFonts w:asciiTheme="majorHAnsi" w:hAnsiTheme="majorHAnsi" w:cs="Times"/>
          <w:sz w:val="18"/>
          <w:szCs w:val="18"/>
        </w:rPr>
        <w:t>Dissanayake</w:t>
      </w:r>
      <w:proofErr w:type="spellEnd"/>
      <w:r w:rsidRPr="006D6209">
        <w:rPr>
          <w:rFonts w:asciiTheme="majorHAnsi" w:hAnsiTheme="majorHAnsi" w:cs="Times"/>
          <w:sz w:val="18"/>
          <w:szCs w:val="18"/>
        </w:rPr>
        <w:t xml:space="preserve"> v. Sri Lanka</w:t>
      </w:r>
      <w:r w:rsidRPr="006D6209">
        <w:rPr>
          <w:rFonts w:asciiTheme="majorHAnsi" w:hAnsiTheme="majorHAnsi" w:cs="Times New Roman"/>
          <w:sz w:val="18"/>
          <w:szCs w:val="18"/>
        </w:rPr>
        <w:t xml:space="preserve">, Views adopted on 22 July 2008. </w:t>
      </w:r>
      <w:r w:rsidRPr="006D6209">
        <w:rPr>
          <w:rFonts w:asciiTheme="majorHAnsi" w:hAnsiTheme="majorHAnsi" w:cs="Times"/>
          <w:sz w:val="18"/>
          <w:szCs w:val="18"/>
        </w:rPr>
        <w:t> </w:t>
      </w:r>
    </w:p>
  </w:footnote>
  <w:footnote w:id="51">
    <w:p w14:paraId="6BEA14AB" w14:textId="77777777" w:rsidR="00B53FC7" w:rsidRPr="006D6209" w:rsidRDefault="00B53FC7" w:rsidP="00136F69">
      <w:pPr>
        <w:widowControl w:val="0"/>
        <w:tabs>
          <w:tab w:val="left" w:pos="220"/>
          <w:tab w:val="left" w:pos="720"/>
        </w:tabs>
        <w:autoSpaceDE w:val="0"/>
        <w:autoSpaceDN w:val="0"/>
        <w:adjustRightInd w:val="0"/>
        <w:rPr>
          <w:rFonts w:asciiTheme="majorHAnsi" w:hAnsiTheme="majorHAnsi" w:cs="Times"/>
          <w:sz w:val="18"/>
          <w:szCs w:val="18"/>
        </w:rPr>
      </w:pPr>
      <w:r w:rsidRPr="006D6209">
        <w:rPr>
          <w:rStyle w:val="FootnoteReference"/>
          <w:rFonts w:asciiTheme="majorHAnsi" w:hAnsiTheme="majorHAnsi"/>
          <w:sz w:val="18"/>
          <w:szCs w:val="18"/>
        </w:rPr>
        <w:footnoteRef/>
      </w:r>
      <w:r w:rsidRPr="006D6209">
        <w:rPr>
          <w:rFonts w:asciiTheme="majorHAnsi" w:hAnsiTheme="majorHAnsi"/>
          <w:sz w:val="18"/>
          <w:szCs w:val="18"/>
        </w:rPr>
        <w:t xml:space="preserve"> </w:t>
      </w:r>
      <w:r w:rsidRPr="006D6209">
        <w:rPr>
          <w:rFonts w:asciiTheme="majorHAnsi" w:hAnsiTheme="majorHAnsi" w:cs="Times New Roman"/>
          <w:sz w:val="18"/>
          <w:szCs w:val="18"/>
        </w:rPr>
        <w:t xml:space="preserve">See general comment No. 32. </w:t>
      </w:r>
    </w:p>
  </w:footnote>
  <w:footnote w:id="52">
    <w:p w14:paraId="0E27E5C0" w14:textId="77777777" w:rsidR="00B53FC7" w:rsidRPr="00356241" w:rsidRDefault="00B53FC7" w:rsidP="00136F69">
      <w:pPr>
        <w:widowControl w:val="0"/>
        <w:tabs>
          <w:tab w:val="left" w:pos="220"/>
          <w:tab w:val="left" w:pos="720"/>
        </w:tabs>
        <w:autoSpaceDE w:val="0"/>
        <w:autoSpaceDN w:val="0"/>
        <w:adjustRightInd w:val="0"/>
        <w:rPr>
          <w:rFonts w:asciiTheme="majorHAnsi" w:hAnsiTheme="majorHAnsi" w:cs="Times"/>
          <w:sz w:val="18"/>
          <w:szCs w:val="18"/>
        </w:rPr>
      </w:pPr>
      <w:r w:rsidRPr="006D6209">
        <w:rPr>
          <w:rStyle w:val="FootnoteReference"/>
          <w:rFonts w:asciiTheme="majorHAnsi" w:hAnsiTheme="majorHAnsi"/>
          <w:sz w:val="18"/>
          <w:szCs w:val="18"/>
        </w:rPr>
        <w:footnoteRef/>
      </w:r>
      <w:r w:rsidRPr="006D6209">
        <w:rPr>
          <w:rFonts w:asciiTheme="majorHAnsi" w:hAnsiTheme="majorHAnsi"/>
          <w:sz w:val="18"/>
          <w:szCs w:val="18"/>
        </w:rPr>
        <w:t xml:space="preserve"> </w:t>
      </w:r>
      <w:r w:rsidRPr="006D6209">
        <w:rPr>
          <w:rFonts w:asciiTheme="majorHAnsi" w:hAnsiTheme="majorHAnsi" w:cs="Times New Roman"/>
          <w:sz w:val="18"/>
          <w:szCs w:val="18"/>
        </w:rPr>
        <w:t>See communication</w:t>
      </w:r>
      <w:r w:rsidRPr="00A62CAA">
        <w:rPr>
          <w:rFonts w:asciiTheme="majorHAnsi" w:hAnsiTheme="majorHAnsi" w:cs="Times New Roman"/>
          <w:sz w:val="18"/>
          <w:szCs w:val="18"/>
        </w:rPr>
        <w:t xml:space="preserve"> No. 578/1994, </w:t>
      </w:r>
      <w:r w:rsidRPr="00A62CAA">
        <w:rPr>
          <w:rFonts w:asciiTheme="majorHAnsi" w:hAnsiTheme="majorHAnsi" w:cs="Times"/>
          <w:sz w:val="18"/>
          <w:szCs w:val="18"/>
        </w:rPr>
        <w:t>de Groot v. The Netherlands</w:t>
      </w:r>
      <w:r w:rsidRPr="00A62CAA">
        <w:rPr>
          <w:rFonts w:asciiTheme="majorHAnsi" w:hAnsiTheme="majorHAnsi" w:cs="Times New Roman"/>
          <w:sz w:val="18"/>
          <w:szCs w:val="18"/>
        </w:rPr>
        <w:t xml:space="preserve">, Views adopted on 14 July 1995. </w:t>
      </w:r>
      <w:r w:rsidRPr="00A62CAA">
        <w:rPr>
          <w:rFonts w:asciiTheme="majorHAnsi" w:hAnsiTheme="majorHAnsi" w:cs="Times"/>
          <w:sz w:val="18"/>
          <w:szCs w:val="18"/>
        </w:rPr>
        <w:t> </w:t>
      </w:r>
    </w:p>
  </w:footnote>
  <w:footnote w:id="53">
    <w:p w14:paraId="2BA5B385" w14:textId="77777777" w:rsidR="00B53FC7" w:rsidRPr="005A6D99" w:rsidRDefault="00B53FC7" w:rsidP="00136F69">
      <w:pPr>
        <w:pStyle w:val="FootnoteText"/>
        <w:rPr>
          <w:rFonts w:asciiTheme="majorHAnsi" w:hAnsiTheme="majorHAnsi"/>
          <w:sz w:val="18"/>
          <w:szCs w:val="18"/>
          <w:lang w:val="en-US"/>
        </w:rPr>
      </w:pPr>
      <w:r w:rsidRPr="005A6D99">
        <w:rPr>
          <w:rStyle w:val="FootnoteReference"/>
          <w:rFonts w:asciiTheme="majorHAnsi" w:hAnsiTheme="majorHAnsi"/>
          <w:sz w:val="18"/>
          <w:szCs w:val="18"/>
        </w:rPr>
        <w:footnoteRef/>
      </w:r>
      <w:r w:rsidRPr="005A6D99">
        <w:rPr>
          <w:rFonts w:asciiTheme="majorHAnsi" w:hAnsiTheme="majorHAnsi"/>
          <w:sz w:val="18"/>
          <w:szCs w:val="18"/>
        </w:rPr>
        <w:t xml:space="preserve"> </w:t>
      </w:r>
      <w:r w:rsidRPr="005A6D99">
        <w:rPr>
          <w:rFonts w:asciiTheme="majorHAnsi" w:hAnsiTheme="majorHAnsi"/>
          <w:sz w:val="18"/>
          <w:szCs w:val="18"/>
          <w:lang w:val="en-US"/>
        </w:rPr>
        <w:t>General Comment No.27</w:t>
      </w:r>
    </w:p>
  </w:footnote>
  <w:footnote w:id="54">
    <w:p w14:paraId="0EE4B4B6" w14:textId="77777777" w:rsidR="00B53FC7" w:rsidRPr="0051146D" w:rsidRDefault="00B53FC7" w:rsidP="00136F69">
      <w:pPr>
        <w:pStyle w:val="FootnoteText"/>
        <w:rPr>
          <w:lang w:val="en-US"/>
        </w:rPr>
      </w:pPr>
      <w:r>
        <w:rPr>
          <w:rStyle w:val="FootnoteReference"/>
        </w:rPr>
        <w:footnoteRef/>
      </w:r>
      <w:r>
        <w:t xml:space="preserve"> </w:t>
      </w:r>
      <w:r w:rsidRPr="0051146D">
        <w:rPr>
          <w:rFonts w:asciiTheme="majorHAnsi" w:hAnsiTheme="majorHAnsi"/>
          <w:sz w:val="18"/>
          <w:szCs w:val="18"/>
        </w:rPr>
        <w:t xml:space="preserve">See communication No. 488/1992, </w:t>
      </w:r>
      <w:proofErr w:type="spellStart"/>
      <w:r w:rsidRPr="0051146D">
        <w:rPr>
          <w:rFonts w:asciiTheme="majorHAnsi" w:hAnsiTheme="majorHAnsi" w:cs="Times"/>
          <w:sz w:val="18"/>
          <w:szCs w:val="18"/>
        </w:rPr>
        <w:t>Toonen</w:t>
      </w:r>
      <w:proofErr w:type="spellEnd"/>
      <w:r w:rsidRPr="0051146D">
        <w:rPr>
          <w:rFonts w:asciiTheme="majorHAnsi" w:hAnsiTheme="majorHAnsi" w:cs="Times"/>
          <w:sz w:val="18"/>
          <w:szCs w:val="18"/>
        </w:rPr>
        <w:t xml:space="preserve"> v. Australia</w:t>
      </w:r>
      <w:r w:rsidRPr="0051146D">
        <w:rPr>
          <w:rFonts w:asciiTheme="majorHAnsi" w:hAnsiTheme="majorHAnsi"/>
          <w:sz w:val="18"/>
          <w:szCs w:val="18"/>
        </w:rPr>
        <w:t>, Views adopted on 30 March 1994</w:t>
      </w:r>
      <w:r>
        <w:t>.</w:t>
      </w:r>
    </w:p>
  </w:footnote>
  <w:footnote w:id="55">
    <w:p w14:paraId="76F550DA" w14:textId="77777777" w:rsidR="00B53FC7" w:rsidRPr="0051146D" w:rsidRDefault="00B53FC7" w:rsidP="00136F69">
      <w:pPr>
        <w:pStyle w:val="FootnoteText"/>
        <w:rPr>
          <w:lang w:val="en-US"/>
        </w:rPr>
      </w:pPr>
      <w:r>
        <w:rPr>
          <w:rStyle w:val="FootnoteReference"/>
        </w:rPr>
        <w:footnoteRef/>
      </w:r>
      <w:r>
        <w:t xml:space="preserve"> </w:t>
      </w:r>
      <w:r w:rsidRPr="0051146D">
        <w:rPr>
          <w:rFonts w:asciiTheme="majorHAnsi" w:hAnsiTheme="majorHAnsi"/>
          <w:sz w:val="18"/>
          <w:szCs w:val="18"/>
        </w:rPr>
        <w:t xml:space="preserve">General comment No. 20, </w:t>
      </w:r>
      <w:r w:rsidRPr="0051146D">
        <w:rPr>
          <w:rFonts w:asciiTheme="majorHAnsi" w:hAnsiTheme="majorHAnsi" w:cs="Times"/>
          <w:sz w:val="18"/>
          <w:szCs w:val="18"/>
        </w:rPr>
        <w:t>Official Records of the General Assembly, Forty-seventh Session,  Supplement No. 40 (A/47/40), annex VI, sect. A.</w:t>
      </w:r>
    </w:p>
  </w:footnote>
  <w:footnote w:id="56">
    <w:p w14:paraId="3C2BB7E0" w14:textId="77777777" w:rsidR="00B53FC7" w:rsidRPr="00D75087" w:rsidRDefault="00B53FC7" w:rsidP="00136F69">
      <w:pPr>
        <w:widowControl w:val="0"/>
        <w:tabs>
          <w:tab w:val="left" w:pos="220"/>
          <w:tab w:val="left" w:pos="720"/>
        </w:tabs>
        <w:autoSpaceDE w:val="0"/>
        <w:autoSpaceDN w:val="0"/>
        <w:adjustRightInd w:val="0"/>
        <w:rPr>
          <w:rFonts w:asciiTheme="majorHAnsi" w:hAnsiTheme="majorHAnsi" w:cs="Times"/>
          <w:sz w:val="18"/>
          <w:szCs w:val="18"/>
        </w:rPr>
      </w:pPr>
      <w:r w:rsidRPr="00D75087">
        <w:rPr>
          <w:rStyle w:val="FootnoteReference"/>
          <w:rFonts w:asciiTheme="majorHAnsi" w:hAnsiTheme="majorHAnsi"/>
          <w:sz w:val="18"/>
          <w:szCs w:val="18"/>
        </w:rPr>
        <w:footnoteRef/>
      </w:r>
      <w:r w:rsidRPr="00D75087">
        <w:rPr>
          <w:rFonts w:asciiTheme="majorHAnsi" w:hAnsiTheme="majorHAnsi"/>
          <w:sz w:val="18"/>
          <w:szCs w:val="18"/>
        </w:rPr>
        <w:t xml:space="preserve"> </w:t>
      </w:r>
      <w:r w:rsidRPr="00D75087">
        <w:rPr>
          <w:rFonts w:asciiTheme="majorHAnsi" w:hAnsiTheme="majorHAnsi" w:cs="Times New Roman"/>
          <w:sz w:val="18"/>
          <w:szCs w:val="18"/>
        </w:rPr>
        <w:t xml:space="preserve">See communication No. 1180/2003, </w:t>
      </w:r>
      <w:proofErr w:type="spellStart"/>
      <w:r w:rsidRPr="00D75087">
        <w:rPr>
          <w:rFonts w:asciiTheme="majorHAnsi" w:hAnsiTheme="majorHAnsi" w:cs="Times"/>
          <w:sz w:val="18"/>
          <w:szCs w:val="18"/>
        </w:rPr>
        <w:t>Bodrozic</w:t>
      </w:r>
      <w:proofErr w:type="spellEnd"/>
      <w:r w:rsidRPr="00D75087">
        <w:rPr>
          <w:rFonts w:asciiTheme="majorHAnsi" w:hAnsiTheme="majorHAnsi" w:cs="Times"/>
          <w:sz w:val="18"/>
          <w:szCs w:val="18"/>
        </w:rPr>
        <w:t xml:space="preserve"> v. Serbia and Montenegro</w:t>
      </w:r>
      <w:r w:rsidRPr="00D75087">
        <w:rPr>
          <w:rFonts w:asciiTheme="majorHAnsi" w:hAnsiTheme="majorHAnsi" w:cs="Times New Roman"/>
          <w:sz w:val="18"/>
          <w:szCs w:val="18"/>
        </w:rPr>
        <w:t xml:space="preserve">, Views adopted on 31 </w:t>
      </w:r>
      <w:r w:rsidRPr="00D75087">
        <w:rPr>
          <w:rFonts w:asciiTheme="majorHAnsi" w:hAnsiTheme="majorHAnsi" w:cs="Times"/>
          <w:sz w:val="18"/>
          <w:szCs w:val="18"/>
        </w:rPr>
        <w:t> </w:t>
      </w:r>
      <w:r w:rsidRPr="00D75087">
        <w:rPr>
          <w:rFonts w:asciiTheme="majorHAnsi" w:hAnsiTheme="majorHAnsi" w:cs="Times New Roman"/>
          <w:sz w:val="18"/>
          <w:szCs w:val="18"/>
        </w:rPr>
        <w:t xml:space="preserve">October 2005. </w:t>
      </w:r>
    </w:p>
  </w:footnote>
  <w:footnote w:id="57">
    <w:p w14:paraId="7439EFCD" w14:textId="77777777" w:rsidR="00B53FC7" w:rsidRPr="00D75087" w:rsidRDefault="00B53FC7" w:rsidP="00136F69">
      <w:pPr>
        <w:widowControl w:val="0"/>
        <w:tabs>
          <w:tab w:val="left" w:pos="220"/>
          <w:tab w:val="left" w:pos="720"/>
        </w:tabs>
        <w:autoSpaceDE w:val="0"/>
        <w:autoSpaceDN w:val="0"/>
        <w:adjustRightInd w:val="0"/>
        <w:rPr>
          <w:rFonts w:asciiTheme="majorHAnsi" w:hAnsiTheme="majorHAnsi" w:cs="Times"/>
          <w:sz w:val="18"/>
          <w:szCs w:val="18"/>
        </w:rPr>
      </w:pPr>
      <w:r w:rsidRPr="00D75087">
        <w:rPr>
          <w:rStyle w:val="FootnoteReference"/>
          <w:rFonts w:asciiTheme="majorHAnsi" w:hAnsiTheme="majorHAnsi"/>
          <w:sz w:val="18"/>
          <w:szCs w:val="18"/>
        </w:rPr>
        <w:footnoteRef/>
      </w:r>
      <w:r w:rsidRPr="00D75087">
        <w:rPr>
          <w:rFonts w:asciiTheme="majorHAnsi" w:hAnsiTheme="majorHAnsi"/>
          <w:sz w:val="18"/>
          <w:szCs w:val="18"/>
        </w:rPr>
        <w:t xml:space="preserve"> </w:t>
      </w:r>
      <w:proofErr w:type="gramStart"/>
      <w:r w:rsidRPr="00D75087">
        <w:rPr>
          <w:rFonts w:asciiTheme="majorHAnsi" w:hAnsiTheme="majorHAnsi" w:cs="Times New Roman"/>
          <w:sz w:val="18"/>
          <w:szCs w:val="18"/>
        </w:rPr>
        <w:t xml:space="preserve">General comment No. 27, </w:t>
      </w:r>
      <w:proofErr w:type="spellStart"/>
      <w:r w:rsidRPr="00D75087">
        <w:rPr>
          <w:rFonts w:asciiTheme="majorHAnsi" w:hAnsiTheme="majorHAnsi" w:cs="Times New Roman"/>
          <w:sz w:val="18"/>
          <w:szCs w:val="18"/>
        </w:rPr>
        <w:t>para</w:t>
      </w:r>
      <w:proofErr w:type="spellEnd"/>
      <w:r w:rsidRPr="00D75087">
        <w:rPr>
          <w:rFonts w:asciiTheme="majorHAnsi" w:hAnsiTheme="majorHAnsi" w:cs="Times New Roman"/>
          <w:sz w:val="18"/>
          <w:szCs w:val="18"/>
        </w:rPr>
        <w:t>.</w:t>
      </w:r>
      <w:proofErr w:type="gramEnd"/>
      <w:r w:rsidRPr="00D75087">
        <w:rPr>
          <w:rFonts w:asciiTheme="majorHAnsi" w:hAnsiTheme="majorHAnsi" w:cs="Times New Roman"/>
          <w:sz w:val="18"/>
          <w:szCs w:val="18"/>
        </w:rPr>
        <w:t xml:space="preserve"> 14. See also Communications No. 1128/2002, </w:t>
      </w:r>
      <w:r w:rsidRPr="00D75087">
        <w:rPr>
          <w:rFonts w:asciiTheme="majorHAnsi" w:hAnsiTheme="majorHAnsi" w:cs="Times"/>
          <w:sz w:val="18"/>
          <w:szCs w:val="18"/>
        </w:rPr>
        <w:t>Marques v. Angola</w:t>
      </w:r>
      <w:proofErr w:type="gramStart"/>
      <w:r w:rsidRPr="00D75087">
        <w:rPr>
          <w:rFonts w:asciiTheme="majorHAnsi" w:hAnsiTheme="majorHAnsi" w:cs="Times New Roman"/>
          <w:sz w:val="18"/>
          <w:szCs w:val="18"/>
        </w:rPr>
        <w:t>;</w:t>
      </w:r>
      <w:proofErr w:type="gramEnd"/>
      <w:r w:rsidRPr="00D75087">
        <w:rPr>
          <w:rFonts w:asciiTheme="majorHAnsi" w:hAnsiTheme="majorHAnsi" w:cs="Times New Roman"/>
          <w:sz w:val="18"/>
          <w:szCs w:val="18"/>
        </w:rPr>
        <w:t xml:space="preserve"> </w:t>
      </w:r>
      <w:r w:rsidRPr="00D75087">
        <w:rPr>
          <w:rFonts w:asciiTheme="majorHAnsi" w:hAnsiTheme="majorHAnsi" w:cs="Times"/>
          <w:sz w:val="18"/>
          <w:szCs w:val="18"/>
        </w:rPr>
        <w:t> </w:t>
      </w:r>
      <w:r w:rsidRPr="00D75087">
        <w:rPr>
          <w:rFonts w:asciiTheme="majorHAnsi" w:hAnsiTheme="majorHAnsi" w:cs="Times New Roman"/>
          <w:sz w:val="18"/>
          <w:szCs w:val="18"/>
        </w:rPr>
        <w:t xml:space="preserve">No. 1157/2003, </w:t>
      </w:r>
      <w:r w:rsidRPr="00D75087">
        <w:rPr>
          <w:rFonts w:asciiTheme="majorHAnsi" w:hAnsiTheme="majorHAnsi" w:cs="Times"/>
          <w:sz w:val="18"/>
          <w:szCs w:val="18"/>
        </w:rPr>
        <w:t>Coleman v. Australia</w:t>
      </w:r>
      <w:r w:rsidRPr="00D75087">
        <w:rPr>
          <w:rFonts w:asciiTheme="majorHAnsi" w:hAnsiTheme="majorHAnsi" w:cs="Times New Roman"/>
          <w:sz w:val="18"/>
          <w:szCs w:val="18"/>
        </w:rPr>
        <w:t xml:space="preserve">. </w:t>
      </w:r>
      <w:r w:rsidRPr="00D75087">
        <w:rPr>
          <w:rFonts w:asciiTheme="majorHAnsi" w:hAnsiTheme="majorHAnsi" w:cs="Times"/>
          <w:sz w:val="18"/>
          <w:szCs w:val="18"/>
        </w:rPr>
        <w:t>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5BA4A" w14:textId="04395DCD" w:rsidR="00B53FC7" w:rsidRDefault="00B53FC7">
    <w:pPr>
      <w:pStyle w:val="Header"/>
    </w:pPr>
    <w:r w:rsidRPr="00315B90">
      <w:rPr>
        <w:noProof/>
      </w:rPr>
      <w:drawing>
        <wp:inline distT="0" distB="0" distL="0" distR="0" wp14:anchorId="27D02F41" wp14:editId="3DD322C7">
          <wp:extent cx="5031463" cy="720943"/>
          <wp:effectExtent l="0" t="0" r="0" b="0"/>
          <wp:docPr id="1" name="Picture 1" descr="C:\Users\bach\OneDrive\Documents\Columbia research\globalfreedom-logos-noglobe\NoGlobe NoAt\globalfreedom-logo-noGlobe-no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ch\OneDrive\Documents\Columbia research\globalfreedom-logos-noglobe\NoGlobe NoAt\globalfreedom-logo-noGlobe-noA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1463" cy="720943"/>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176B27"/>
    <w:multiLevelType w:val="hybridMultilevel"/>
    <w:tmpl w:val="194AB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3145F"/>
    <w:multiLevelType w:val="hybridMultilevel"/>
    <w:tmpl w:val="76C26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402248"/>
    <w:multiLevelType w:val="hybridMultilevel"/>
    <w:tmpl w:val="9B385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E52A84"/>
    <w:multiLevelType w:val="hybridMultilevel"/>
    <w:tmpl w:val="6E6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4C5526"/>
    <w:multiLevelType w:val="hybridMultilevel"/>
    <w:tmpl w:val="108C0FB4"/>
    <w:lvl w:ilvl="0" w:tplc="0409000F">
      <w:start w:val="1"/>
      <w:numFmt w:val="decimal"/>
      <w:lvlText w:val="%1."/>
      <w:lvlJc w:val="left"/>
      <w:pPr>
        <w:ind w:left="720" w:hanging="360"/>
      </w:pPr>
    </w:lvl>
    <w:lvl w:ilvl="1" w:tplc="AFCCA6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576330"/>
    <w:multiLevelType w:val="hybridMultilevel"/>
    <w:tmpl w:val="F9166B36"/>
    <w:lvl w:ilvl="0" w:tplc="78840480">
      <w:start w:val="1"/>
      <w:numFmt w:val="decimal"/>
      <w:lvlText w:val="%1."/>
      <w:lvlJc w:val="left"/>
      <w:pPr>
        <w:tabs>
          <w:tab w:val="num" w:pos="720"/>
        </w:tabs>
        <w:ind w:left="720" w:hanging="360"/>
      </w:pPr>
    </w:lvl>
    <w:lvl w:ilvl="1" w:tplc="DA44FCE0" w:tentative="1">
      <w:start w:val="1"/>
      <w:numFmt w:val="decimal"/>
      <w:lvlText w:val="%2."/>
      <w:lvlJc w:val="left"/>
      <w:pPr>
        <w:tabs>
          <w:tab w:val="num" w:pos="1440"/>
        </w:tabs>
        <w:ind w:left="1440" w:hanging="360"/>
      </w:pPr>
    </w:lvl>
    <w:lvl w:ilvl="2" w:tplc="EAF45A3A" w:tentative="1">
      <w:start w:val="1"/>
      <w:numFmt w:val="decimal"/>
      <w:lvlText w:val="%3."/>
      <w:lvlJc w:val="left"/>
      <w:pPr>
        <w:tabs>
          <w:tab w:val="num" w:pos="2160"/>
        </w:tabs>
        <w:ind w:left="2160" w:hanging="360"/>
      </w:pPr>
    </w:lvl>
    <w:lvl w:ilvl="3" w:tplc="C0D8B360" w:tentative="1">
      <w:start w:val="1"/>
      <w:numFmt w:val="decimal"/>
      <w:lvlText w:val="%4."/>
      <w:lvlJc w:val="left"/>
      <w:pPr>
        <w:tabs>
          <w:tab w:val="num" w:pos="2880"/>
        </w:tabs>
        <w:ind w:left="2880" w:hanging="360"/>
      </w:pPr>
    </w:lvl>
    <w:lvl w:ilvl="4" w:tplc="0988FBF8" w:tentative="1">
      <w:start w:val="1"/>
      <w:numFmt w:val="decimal"/>
      <w:lvlText w:val="%5."/>
      <w:lvlJc w:val="left"/>
      <w:pPr>
        <w:tabs>
          <w:tab w:val="num" w:pos="3600"/>
        </w:tabs>
        <w:ind w:left="3600" w:hanging="360"/>
      </w:pPr>
    </w:lvl>
    <w:lvl w:ilvl="5" w:tplc="EDBAB714" w:tentative="1">
      <w:start w:val="1"/>
      <w:numFmt w:val="decimal"/>
      <w:lvlText w:val="%6."/>
      <w:lvlJc w:val="left"/>
      <w:pPr>
        <w:tabs>
          <w:tab w:val="num" w:pos="4320"/>
        </w:tabs>
        <w:ind w:left="4320" w:hanging="360"/>
      </w:pPr>
    </w:lvl>
    <w:lvl w:ilvl="6" w:tplc="FD2C2AB4" w:tentative="1">
      <w:start w:val="1"/>
      <w:numFmt w:val="decimal"/>
      <w:lvlText w:val="%7."/>
      <w:lvlJc w:val="left"/>
      <w:pPr>
        <w:tabs>
          <w:tab w:val="num" w:pos="5040"/>
        </w:tabs>
        <w:ind w:left="5040" w:hanging="360"/>
      </w:pPr>
    </w:lvl>
    <w:lvl w:ilvl="7" w:tplc="AB2E819E" w:tentative="1">
      <w:start w:val="1"/>
      <w:numFmt w:val="decimal"/>
      <w:lvlText w:val="%8."/>
      <w:lvlJc w:val="left"/>
      <w:pPr>
        <w:tabs>
          <w:tab w:val="num" w:pos="5760"/>
        </w:tabs>
        <w:ind w:left="5760" w:hanging="360"/>
      </w:pPr>
    </w:lvl>
    <w:lvl w:ilvl="8" w:tplc="F9E21522" w:tentative="1">
      <w:start w:val="1"/>
      <w:numFmt w:val="decimal"/>
      <w:lvlText w:val="%9."/>
      <w:lvlJc w:val="left"/>
      <w:pPr>
        <w:tabs>
          <w:tab w:val="num" w:pos="6480"/>
        </w:tabs>
        <w:ind w:left="6480" w:hanging="360"/>
      </w:pPr>
    </w:lvl>
  </w:abstractNum>
  <w:abstractNum w:abstractNumId="7">
    <w:nsid w:val="1DD65801"/>
    <w:multiLevelType w:val="hybridMultilevel"/>
    <w:tmpl w:val="E95E388A"/>
    <w:lvl w:ilvl="0" w:tplc="57A27AE0">
      <w:start w:val="1"/>
      <w:numFmt w:val="bullet"/>
      <w:lvlText w:val="•"/>
      <w:lvlJc w:val="left"/>
      <w:pPr>
        <w:tabs>
          <w:tab w:val="num" w:pos="720"/>
        </w:tabs>
        <w:ind w:left="720" w:hanging="360"/>
      </w:pPr>
      <w:rPr>
        <w:rFonts w:ascii="Arial" w:hAnsi="Arial" w:hint="default"/>
      </w:rPr>
    </w:lvl>
    <w:lvl w:ilvl="1" w:tplc="5888CA52" w:tentative="1">
      <w:start w:val="1"/>
      <w:numFmt w:val="bullet"/>
      <w:lvlText w:val="•"/>
      <w:lvlJc w:val="left"/>
      <w:pPr>
        <w:tabs>
          <w:tab w:val="num" w:pos="1440"/>
        </w:tabs>
        <w:ind w:left="1440" w:hanging="360"/>
      </w:pPr>
      <w:rPr>
        <w:rFonts w:ascii="Arial" w:hAnsi="Arial" w:hint="default"/>
      </w:rPr>
    </w:lvl>
    <w:lvl w:ilvl="2" w:tplc="310855D4" w:tentative="1">
      <w:start w:val="1"/>
      <w:numFmt w:val="bullet"/>
      <w:lvlText w:val="•"/>
      <w:lvlJc w:val="left"/>
      <w:pPr>
        <w:tabs>
          <w:tab w:val="num" w:pos="2160"/>
        </w:tabs>
        <w:ind w:left="2160" w:hanging="360"/>
      </w:pPr>
      <w:rPr>
        <w:rFonts w:ascii="Arial" w:hAnsi="Arial" w:hint="default"/>
      </w:rPr>
    </w:lvl>
    <w:lvl w:ilvl="3" w:tplc="076C062E" w:tentative="1">
      <w:start w:val="1"/>
      <w:numFmt w:val="bullet"/>
      <w:lvlText w:val="•"/>
      <w:lvlJc w:val="left"/>
      <w:pPr>
        <w:tabs>
          <w:tab w:val="num" w:pos="2880"/>
        </w:tabs>
        <w:ind w:left="2880" w:hanging="360"/>
      </w:pPr>
      <w:rPr>
        <w:rFonts w:ascii="Arial" w:hAnsi="Arial" w:hint="default"/>
      </w:rPr>
    </w:lvl>
    <w:lvl w:ilvl="4" w:tplc="7CEE341A" w:tentative="1">
      <w:start w:val="1"/>
      <w:numFmt w:val="bullet"/>
      <w:lvlText w:val="•"/>
      <w:lvlJc w:val="left"/>
      <w:pPr>
        <w:tabs>
          <w:tab w:val="num" w:pos="3600"/>
        </w:tabs>
        <w:ind w:left="3600" w:hanging="360"/>
      </w:pPr>
      <w:rPr>
        <w:rFonts w:ascii="Arial" w:hAnsi="Arial" w:hint="default"/>
      </w:rPr>
    </w:lvl>
    <w:lvl w:ilvl="5" w:tplc="1D6032AC" w:tentative="1">
      <w:start w:val="1"/>
      <w:numFmt w:val="bullet"/>
      <w:lvlText w:val="•"/>
      <w:lvlJc w:val="left"/>
      <w:pPr>
        <w:tabs>
          <w:tab w:val="num" w:pos="4320"/>
        </w:tabs>
        <w:ind w:left="4320" w:hanging="360"/>
      </w:pPr>
      <w:rPr>
        <w:rFonts w:ascii="Arial" w:hAnsi="Arial" w:hint="default"/>
      </w:rPr>
    </w:lvl>
    <w:lvl w:ilvl="6" w:tplc="3AB22B1E" w:tentative="1">
      <w:start w:val="1"/>
      <w:numFmt w:val="bullet"/>
      <w:lvlText w:val="•"/>
      <w:lvlJc w:val="left"/>
      <w:pPr>
        <w:tabs>
          <w:tab w:val="num" w:pos="5040"/>
        </w:tabs>
        <w:ind w:left="5040" w:hanging="360"/>
      </w:pPr>
      <w:rPr>
        <w:rFonts w:ascii="Arial" w:hAnsi="Arial" w:hint="default"/>
      </w:rPr>
    </w:lvl>
    <w:lvl w:ilvl="7" w:tplc="6B424CB6" w:tentative="1">
      <w:start w:val="1"/>
      <w:numFmt w:val="bullet"/>
      <w:lvlText w:val="•"/>
      <w:lvlJc w:val="left"/>
      <w:pPr>
        <w:tabs>
          <w:tab w:val="num" w:pos="5760"/>
        </w:tabs>
        <w:ind w:left="5760" w:hanging="360"/>
      </w:pPr>
      <w:rPr>
        <w:rFonts w:ascii="Arial" w:hAnsi="Arial" w:hint="default"/>
      </w:rPr>
    </w:lvl>
    <w:lvl w:ilvl="8" w:tplc="570017BA" w:tentative="1">
      <w:start w:val="1"/>
      <w:numFmt w:val="bullet"/>
      <w:lvlText w:val="•"/>
      <w:lvlJc w:val="left"/>
      <w:pPr>
        <w:tabs>
          <w:tab w:val="num" w:pos="6480"/>
        </w:tabs>
        <w:ind w:left="6480" w:hanging="360"/>
      </w:pPr>
      <w:rPr>
        <w:rFonts w:ascii="Arial" w:hAnsi="Arial" w:hint="default"/>
      </w:rPr>
    </w:lvl>
  </w:abstractNum>
  <w:abstractNum w:abstractNumId="8">
    <w:nsid w:val="20F0439B"/>
    <w:multiLevelType w:val="hybridMultilevel"/>
    <w:tmpl w:val="85AEF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4069E5"/>
    <w:multiLevelType w:val="hybridMultilevel"/>
    <w:tmpl w:val="2CCE3512"/>
    <w:lvl w:ilvl="0" w:tplc="EA74EAFA">
      <w:start w:val="1"/>
      <w:numFmt w:val="decimal"/>
      <w:lvlText w:val="%1."/>
      <w:lvlJc w:val="left"/>
      <w:pPr>
        <w:ind w:left="720" w:hanging="360"/>
      </w:pPr>
      <w:rPr>
        <w:rFonts w:cs="Verdana" w:hint="default"/>
        <w:color w:val="1717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D53AB1"/>
    <w:multiLevelType w:val="hybridMultilevel"/>
    <w:tmpl w:val="8B7A2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190FEF"/>
    <w:multiLevelType w:val="hybridMultilevel"/>
    <w:tmpl w:val="03900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270B1D"/>
    <w:multiLevelType w:val="hybridMultilevel"/>
    <w:tmpl w:val="F794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7D7726"/>
    <w:multiLevelType w:val="hybridMultilevel"/>
    <w:tmpl w:val="6598EBEE"/>
    <w:lvl w:ilvl="0" w:tplc="04090019">
      <w:start w:val="1"/>
      <w:numFmt w:val="lowerLetter"/>
      <w:lvlText w:val="%1."/>
      <w:lvlJc w:val="left"/>
      <w:pPr>
        <w:ind w:left="72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5161B4"/>
    <w:multiLevelType w:val="hybridMultilevel"/>
    <w:tmpl w:val="E342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D2795D"/>
    <w:multiLevelType w:val="hybridMultilevel"/>
    <w:tmpl w:val="5BDA2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28131C"/>
    <w:multiLevelType w:val="hybridMultilevel"/>
    <w:tmpl w:val="7EC0F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337BFA"/>
    <w:multiLevelType w:val="hybridMultilevel"/>
    <w:tmpl w:val="F9444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7A775D"/>
    <w:multiLevelType w:val="hybridMultilevel"/>
    <w:tmpl w:val="EB7A5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096B02"/>
    <w:multiLevelType w:val="hybridMultilevel"/>
    <w:tmpl w:val="14985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2"/>
  </w:num>
  <w:num w:numId="4">
    <w:abstractNumId w:val="0"/>
  </w:num>
  <w:num w:numId="5">
    <w:abstractNumId w:val="10"/>
  </w:num>
  <w:num w:numId="6">
    <w:abstractNumId w:val="4"/>
  </w:num>
  <w:num w:numId="7">
    <w:abstractNumId w:val="8"/>
  </w:num>
  <w:num w:numId="8">
    <w:abstractNumId w:val="5"/>
  </w:num>
  <w:num w:numId="9">
    <w:abstractNumId w:val="19"/>
  </w:num>
  <w:num w:numId="10">
    <w:abstractNumId w:val="15"/>
  </w:num>
  <w:num w:numId="11">
    <w:abstractNumId w:val="16"/>
  </w:num>
  <w:num w:numId="12">
    <w:abstractNumId w:val="7"/>
  </w:num>
  <w:num w:numId="13">
    <w:abstractNumId w:val="1"/>
  </w:num>
  <w:num w:numId="14">
    <w:abstractNumId w:val="6"/>
  </w:num>
  <w:num w:numId="15">
    <w:abstractNumId w:val="9"/>
  </w:num>
  <w:num w:numId="16">
    <w:abstractNumId w:val="3"/>
  </w:num>
  <w:num w:numId="17">
    <w:abstractNumId w:val="17"/>
  </w:num>
  <w:num w:numId="18">
    <w:abstractNumId w:val="14"/>
  </w:num>
  <w:num w:numId="19">
    <w:abstractNumId w:val="1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EFC"/>
    <w:rsid w:val="00017F9D"/>
    <w:rsid w:val="00036156"/>
    <w:rsid w:val="000970DB"/>
    <w:rsid w:val="000B1B64"/>
    <w:rsid w:val="000B4EBC"/>
    <w:rsid w:val="000B5A69"/>
    <w:rsid w:val="00116BD7"/>
    <w:rsid w:val="00136F69"/>
    <w:rsid w:val="001401D1"/>
    <w:rsid w:val="00167263"/>
    <w:rsid w:val="001C7A13"/>
    <w:rsid w:val="00205AC7"/>
    <w:rsid w:val="002321CE"/>
    <w:rsid w:val="00265CC5"/>
    <w:rsid w:val="00272F1D"/>
    <w:rsid w:val="002B03F7"/>
    <w:rsid w:val="002B0D7B"/>
    <w:rsid w:val="002B7E5C"/>
    <w:rsid w:val="002F0AFF"/>
    <w:rsid w:val="00320F8B"/>
    <w:rsid w:val="0034695E"/>
    <w:rsid w:val="0038014C"/>
    <w:rsid w:val="003E28DE"/>
    <w:rsid w:val="00406402"/>
    <w:rsid w:val="00422DDE"/>
    <w:rsid w:val="0044104C"/>
    <w:rsid w:val="0046642E"/>
    <w:rsid w:val="0047018F"/>
    <w:rsid w:val="00490F17"/>
    <w:rsid w:val="004A473A"/>
    <w:rsid w:val="004D0EA5"/>
    <w:rsid w:val="004D1964"/>
    <w:rsid w:val="005052F7"/>
    <w:rsid w:val="00536DFE"/>
    <w:rsid w:val="00573FEF"/>
    <w:rsid w:val="005743D7"/>
    <w:rsid w:val="005917AC"/>
    <w:rsid w:val="00603920"/>
    <w:rsid w:val="006070AF"/>
    <w:rsid w:val="00611A0F"/>
    <w:rsid w:val="00613B3A"/>
    <w:rsid w:val="00633EFC"/>
    <w:rsid w:val="00656CFD"/>
    <w:rsid w:val="006675FB"/>
    <w:rsid w:val="00686233"/>
    <w:rsid w:val="006B0DC6"/>
    <w:rsid w:val="006D6209"/>
    <w:rsid w:val="00746DAE"/>
    <w:rsid w:val="007716E9"/>
    <w:rsid w:val="007902C2"/>
    <w:rsid w:val="0079321B"/>
    <w:rsid w:val="0079455F"/>
    <w:rsid w:val="007B0992"/>
    <w:rsid w:val="007C1C31"/>
    <w:rsid w:val="007C7274"/>
    <w:rsid w:val="007E375C"/>
    <w:rsid w:val="00801E58"/>
    <w:rsid w:val="00806429"/>
    <w:rsid w:val="00842C0D"/>
    <w:rsid w:val="008816FE"/>
    <w:rsid w:val="00883EA5"/>
    <w:rsid w:val="008A1BD4"/>
    <w:rsid w:val="008B7592"/>
    <w:rsid w:val="008C58CD"/>
    <w:rsid w:val="008D3A17"/>
    <w:rsid w:val="0093631A"/>
    <w:rsid w:val="009C57C2"/>
    <w:rsid w:val="009D576B"/>
    <w:rsid w:val="00A02C69"/>
    <w:rsid w:val="00A2123C"/>
    <w:rsid w:val="00A40734"/>
    <w:rsid w:val="00A664CD"/>
    <w:rsid w:val="00AC1853"/>
    <w:rsid w:val="00AC23C2"/>
    <w:rsid w:val="00B0579B"/>
    <w:rsid w:val="00B107FC"/>
    <w:rsid w:val="00B11F4B"/>
    <w:rsid w:val="00B12796"/>
    <w:rsid w:val="00B17125"/>
    <w:rsid w:val="00B20722"/>
    <w:rsid w:val="00B518C4"/>
    <w:rsid w:val="00B51E1F"/>
    <w:rsid w:val="00B53FC7"/>
    <w:rsid w:val="00B628E1"/>
    <w:rsid w:val="00B8765A"/>
    <w:rsid w:val="00BE5210"/>
    <w:rsid w:val="00BE616B"/>
    <w:rsid w:val="00C0089A"/>
    <w:rsid w:val="00C25F5C"/>
    <w:rsid w:val="00CA2083"/>
    <w:rsid w:val="00CA52FD"/>
    <w:rsid w:val="00CF23AF"/>
    <w:rsid w:val="00CF478C"/>
    <w:rsid w:val="00D12526"/>
    <w:rsid w:val="00D27B60"/>
    <w:rsid w:val="00D60546"/>
    <w:rsid w:val="00D727BE"/>
    <w:rsid w:val="00DD71E1"/>
    <w:rsid w:val="00E22777"/>
    <w:rsid w:val="00E41942"/>
    <w:rsid w:val="00E5569C"/>
    <w:rsid w:val="00E6215F"/>
    <w:rsid w:val="00E70AB3"/>
    <w:rsid w:val="00E74734"/>
    <w:rsid w:val="00EA2A9A"/>
    <w:rsid w:val="00EA3516"/>
    <w:rsid w:val="00EC04E3"/>
    <w:rsid w:val="00ED2FEA"/>
    <w:rsid w:val="00F3130C"/>
    <w:rsid w:val="00F3697C"/>
    <w:rsid w:val="00F43897"/>
    <w:rsid w:val="00F64EBC"/>
    <w:rsid w:val="00F7590C"/>
    <w:rsid w:val="00F93E8F"/>
    <w:rsid w:val="00FA3108"/>
    <w:rsid w:val="00FB0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2412]"/>
    </o:shapedefaults>
    <o:shapelayout v:ext="edit">
      <o:idmap v:ext="edit" data="1"/>
    </o:shapelayout>
  </w:shapeDefaults>
  <w:decimalSymbol w:val="."/>
  <w:listSeparator w:val=","/>
  <w14:docId w14:val="611B44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EA5"/>
    <w:pPr>
      <w:ind w:left="720"/>
      <w:contextualSpacing/>
    </w:pPr>
  </w:style>
  <w:style w:type="paragraph" w:styleId="FootnoteText">
    <w:name w:val="footnote text"/>
    <w:aliases w:val="Footnote Text Char Char,Char,Footnote Text1 Char,5_G, Char Char,Footnote reference,FA Fu,Footnote Text Char Char Char Char Char,Footnote Text Char Char Char Char,Texto nota pie Car Car,poznppMV,fn"/>
    <w:basedOn w:val="Normal"/>
    <w:link w:val="FootnoteTextChar"/>
    <w:uiPriority w:val="99"/>
    <w:unhideWhenUsed/>
    <w:qFormat/>
    <w:rsid w:val="00205AC7"/>
    <w:rPr>
      <w:rFonts w:ascii="Georgia" w:hAnsi="Georgia" w:cs="Times New Roman"/>
      <w:sz w:val="22"/>
      <w:lang w:val="en-GB" w:eastAsia="ja-JP"/>
    </w:rPr>
  </w:style>
  <w:style w:type="character" w:customStyle="1" w:styleId="FootnoteTextChar">
    <w:name w:val="Footnote Text Char"/>
    <w:aliases w:val="Footnote Text Char Char Char,Char Char,Footnote Text1 Char Char,5_G Char, Char Char Char,Footnote reference Char,FA Fu Char,Footnote Text Char Char Char Char Char Char,Footnote Text Char Char Char Char Char1,poznppMV Char,fn Char"/>
    <w:basedOn w:val="DefaultParagraphFont"/>
    <w:link w:val="FootnoteText"/>
    <w:uiPriority w:val="99"/>
    <w:rsid w:val="00205AC7"/>
    <w:rPr>
      <w:rFonts w:ascii="Georgia" w:hAnsi="Georgia" w:cs="Times New Roman"/>
      <w:sz w:val="22"/>
      <w:lang w:val="en-GB" w:eastAsia="ja-JP"/>
    </w:rPr>
  </w:style>
  <w:style w:type="character" w:styleId="FootnoteReference">
    <w:name w:val="footnote reference"/>
    <w:aliases w:val="Footnote Reference + Superscript,4_G,ftref,Footnotes refss,Footnote Ref,16 Point,Superscript 6 Point,Appel note de bas de p.,Footnote Refernece,Footnote number"/>
    <w:basedOn w:val="DefaultParagraphFont"/>
    <w:uiPriority w:val="99"/>
    <w:unhideWhenUsed/>
    <w:rsid w:val="00205AC7"/>
    <w:rPr>
      <w:vertAlign w:val="superscript"/>
    </w:rPr>
  </w:style>
  <w:style w:type="character" w:customStyle="1" w:styleId="s7d2086b4">
    <w:name w:val="s7d2086b4"/>
    <w:basedOn w:val="DefaultParagraphFont"/>
    <w:rsid w:val="00801E58"/>
  </w:style>
  <w:style w:type="paragraph" w:styleId="Header">
    <w:name w:val="header"/>
    <w:basedOn w:val="Normal"/>
    <w:link w:val="HeaderChar"/>
    <w:uiPriority w:val="99"/>
    <w:unhideWhenUsed/>
    <w:rsid w:val="00ED2FEA"/>
    <w:pPr>
      <w:tabs>
        <w:tab w:val="center" w:pos="4320"/>
        <w:tab w:val="right" w:pos="8640"/>
      </w:tabs>
    </w:pPr>
  </w:style>
  <w:style w:type="character" w:customStyle="1" w:styleId="HeaderChar">
    <w:name w:val="Header Char"/>
    <w:basedOn w:val="DefaultParagraphFont"/>
    <w:link w:val="Header"/>
    <w:uiPriority w:val="99"/>
    <w:rsid w:val="00ED2FEA"/>
  </w:style>
  <w:style w:type="paragraph" w:styleId="Footer">
    <w:name w:val="footer"/>
    <w:basedOn w:val="Normal"/>
    <w:link w:val="FooterChar"/>
    <w:uiPriority w:val="99"/>
    <w:unhideWhenUsed/>
    <w:rsid w:val="00ED2FEA"/>
    <w:pPr>
      <w:tabs>
        <w:tab w:val="center" w:pos="4320"/>
        <w:tab w:val="right" w:pos="8640"/>
      </w:tabs>
    </w:pPr>
  </w:style>
  <w:style w:type="character" w:customStyle="1" w:styleId="FooterChar">
    <w:name w:val="Footer Char"/>
    <w:basedOn w:val="DefaultParagraphFont"/>
    <w:link w:val="Footer"/>
    <w:uiPriority w:val="99"/>
    <w:rsid w:val="00ED2FEA"/>
  </w:style>
  <w:style w:type="paragraph" w:styleId="BalloonText">
    <w:name w:val="Balloon Text"/>
    <w:basedOn w:val="Normal"/>
    <w:link w:val="BalloonTextChar"/>
    <w:uiPriority w:val="99"/>
    <w:semiHidden/>
    <w:unhideWhenUsed/>
    <w:rsid w:val="00ED2F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2FEA"/>
    <w:rPr>
      <w:rFonts w:ascii="Lucida Grande" w:hAnsi="Lucida Grande" w:cs="Lucida Grande"/>
      <w:sz w:val="18"/>
      <w:szCs w:val="18"/>
    </w:rPr>
  </w:style>
  <w:style w:type="character" w:styleId="Hyperlink">
    <w:name w:val="Hyperlink"/>
    <w:basedOn w:val="DefaultParagraphFont"/>
    <w:uiPriority w:val="99"/>
    <w:unhideWhenUsed/>
    <w:rsid w:val="0047018F"/>
    <w:rPr>
      <w:color w:val="0000FF" w:themeColor="hyperlink"/>
      <w:u w:val="single"/>
    </w:rPr>
  </w:style>
  <w:style w:type="paragraph" w:styleId="NormalWeb">
    <w:name w:val="Normal (Web)"/>
    <w:basedOn w:val="Normal"/>
    <w:uiPriority w:val="99"/>
    <w:unhideWhenUsed/>
    <w:rsid w:val="00A2123C"/>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6B0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EA5"/>
    <w:pPr>
      <w:ind w:left="720"/>
      <w:contextualSpacing/>
    </w:pPr>
  </w:style>
  <w:style w:type="paragraph" w:styleId="FootnoteText">
    <w:name w:val="footnote text"/>
    <w:aliases w:val="Footnote Text Char Char,Char,Footnote Text1 Char,5_G, Char Char,Footnote reference,FA Fu,Footnote Text Char Char Char Char Char,Footnote Text Char Char Char Char,Texto nota pie Car Car,poznppMV,fn"/>
    <w:basedOn w:val="Normal"/>
    <w:link w:val="FootnoteTextChar"/>
    <w:uiPriority w:val="99"/>
    <w:unhideWhenUsed/>
    <w:qFormat/>
    <w:rsid w:val="00205AC7"/>
    <w:rPr>
      <w:rFonts w:ascii="Georgia" w:hAnsi="Georgia" w:cs="Times New Roman"/>
      <w:sz w:val="22"/>
      <w:lang w:val="en-GB" w:eastAsia="ja-JP"/>
    </w:rPr>
  </w:style>
  <w:style w:type="character" w:customStyle="1" w:styleId="FootnoteTextChar">
    <w:name w:val="Footnote Text Char"/>
    <w:aliases w:val="Footnote Text Char Char Char,Char Char,Footnote Text1 Char Char,5_G Char, Char Char Char,Footnote reference Char,FA Fu Char,Footnote Text Char Char Char Char Char Char,Footnote Text Char Char Char Char Char1,poznppMV Char,fn Char"/>
    <w:basedOn w:val="DefaultParagraphFont"/>
    <w:link w:val="FootnoteText"/>
    <w:uiPriority w:val="99"/>
    <w:rsid w:val="00205AC7"/>
    <w:rPr>
      <w:rFonts w:ascii="Georgia" w:hAnsi="Georgia" w:cs="Times New Roman"/>
      <w:sz w:val="22"/>
      <w:lang w:val="en-GB" w:eastAsia="ja-JP"/>
    </w:rPr>
  </w:style>
  <w:style w:type="character" w:styleId="FootnoteReference">
    <w:name w:val="footnote reference"/>
    <w:aliases w:val="Footnote Reference + Superscript,4_G,ftref,Footnotes refss,Footnote Ref,16 Point,Superscript 6 Point,Appel note de bas de p.,Footnote Refernece,Footnote number"/>
    <w:basedOn w:val="DefaultParagraphFont"/>
    <w:uiPriority w:val="99"/>
    <w:unhideWhenUsed/>
    <w:rsid w:val="00205AC7"/>
    <w:rPr>
      <w:vertAlign w:val="superscript"/>
    </w:rPr>
  </w:style>
  <w:style w:type="character" w:customStyle="1" w:styleId="s7d2086b4">
    <w:name w:val="s7d2086b4"/>
    <w:basedOn w:val="DefaultParagraphFont"/>
    <w:rsid w:val="00801E58"/>
  </w:style>
  <w:style w:type="paragraph" w:styleId="Header">
    <w:name w:val="header"/>
    <w:basedOn w:val="Normal"/>
    <w:link w:val="HeaderChar"/>
    <w:uiPriority w:val="99"/>
    <w:unhideWhenUsed/>
    <w:rsid w:val="00ED2FEA"/>
    <w:pPr>
      <w:tabs>
        <w:tab w:val="center" w:pos="4320"/>
        <w:tab w:val="right" w:pos="8640"/>
      </w:tabs>
    </w:pPr>
  </w:style>
  <w:style w:type="character" w:customStyle="1" w:styleId="HeaderChar">
    <w:name w:val="Header Char"/>
    <w:basedOn w:val="DefaultParagraphFont"/>
    <w:link w:val="Header"/>
    <w:uiPriority w:val="99"/>
    <w:rsid w:val="00ED2FEA"/>
  </w:style>
  <w:style w:type="paragraph" w:styleId="Footer">
    <w:name w:val="footer"/>
    <w:basedOn w:val="Normal"/>
    <w:link w:val="FooterChar"/>
    <w:uiPriority w:val="99"/>
    <w:unhideWhenUsed/>
    <w:rsid w:val="00ED2FEA"/>
    <w:pPr>
      <w:tabs>
        <w:tab w:val="center" w:pos="4320"/>
        <w:tab w:val="right" w:pos="8640"/>
      </w:tabs>
    </w:pPr>
  </w:style>
  <w:style w:type="character" w:customStyle="1" w:styleId="FooterChar">
    <w:name w:val="Footer Char"/>
    <w:basedOn w:val="DefaultParagraphFont"/>
    <w:link w:val="Footer"/>
    <w:uiPriority w:val="99"/>
    <w:rsid w:val="00ED2FEA"/>
  </w:style>
  <w:style w:type="paragraph" w:styleId="BalloonText">
    <w:name w:val="Balloon Text"/>
    <w:basedOn w:val="Normal"/>
    <w:link w:val="BalloonTextChar"/>
    <w:uiPriority w:val="99"/>
    <w:semiHidden/>
    <w:unhideWhenUsed/>
    <w:rsid w:val="00ED2F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2FEA"/>
    <w:rPr>
      <w:rFonts w:ascii="Lucida Grande" w:hAnsi="Lucida Grande" w:cs="Lucida Grande"/>
      <w:sz w:val="18"/>
      <w:szCs w:val="18"/>
    </w:rPr>
  </w:style>
  <w:style w:type="character" w:styleId="Hyperlink">
    <w:name w:val="Hyperlink"/>
    <w:basedOn w:val="DefaultParagraphFont"/>
    <w:uiPriority w:val="99"/>
    <w:unhideWhenUsed/>
    <w:rsid w:val="0047018F"/>
    <w:rPr>
      <w:color w:val="0000FF" w:themeColor="hyperlink"/>
      <w:u w:val="single"/>
    </w:rPr>
  </w:style>
  <w:style w:type="paragraph" w:styleId="NormalWeb">
    <w:name w:val="Normal (Web)"/>
    <w:basedOn w:val="Normal"/>
    <w:uiPriority w:val="99"/>
    <w:unhideWhenUsed/>
    <w:rsid w:val="00A2123C"/>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6B0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1229">
      <w:bodyDiv w:val="1"/>
      <w:marLeft w:val="0"/>
      <w:marRight w:val="0"/>
      <w:marTop w:val="0"/>
      <w:marBottom w:val="0"/>
      <w:divBdr>
        <w:top w:val="none" w:sz="0" w:space="0" w:color="auto"/>
        <w:left w:val="none" w:sz="0" w:space="0" w:color="auto"/>
        <w:bottom w:val="none" w:sz="0" w:space="0" w:color="auto"/>
        <w:right w:val="none" w:sz="0" w:space="0" w:color="auto"/>
      </w:divBdr>
      <w:divsChild>
        <w:div w:id="147675796">
          <w:marLeft w:val="0"/>
          <w:marRight w:val="0"/>
          <w:marTop w:val="0"/>
          <w:marBottom w:val="0"/>
          <w:divBdr>
            <w:top w:val="none" w:sz="0" w:space="0" w:color="auto"/>
            <w:left w:val="none" w:sz="0" w:space="0" w:color="auto"/>
            <w:bottom w:val="none" w:sz="0" w:space="0" w:color="auto"/>
            <w:right w:val="none" w:sz="0" w:space="0" w:color="auto"/>
          </w:divBdr>
          <w:divsChild>
            <w:div w:id="544146836">
              <w:marLeft w:val="0"/>
              <w:marRight w:val="0"/>
              <w:marTop w:val="0"/>
              <w:marBottom w:val="0"/>
              <w:divBdr>
                <w:top w:val="none" w:sz="0" w:space="0" w:color="auto"/>
                <w:left w:val="none" w:sz="0" w:space="0" w:color="auto"/>
                <w:bottom w:val="none" w:sz="0" w:space="0" w:color="auto"/>
                <w:right w:val="none" w:sz="0" w:space="0" w:color="auto"/>
              </w:divBdr>
              <w:divsChild>
                <w:div w:id="141991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763089">
      <w:bodyDiv w:val="1"/>
      <w:marLeft w:val="0"/>
      <w:marRight w:val="0"/>
      <w:marTop w:val="0"/>
      <w:marBottom w:val="0"/>
      <w:divBdr>
        <w:top w:val="none" w:sz="0" w:space="0" w:color="auto"/>
        <w:left w:val="none" w:sz="0" w:space="0" w:color="auto"/>
        <w:bottom w:val="none" w:sz="0" w:space="0" w:color="auto"/>
        <w:right w:val="none" w:sz="0" w:space="0" w:color="auto"/>
      </w:divBdr>
      <w:divsChild>
        <w:div w:id="1601985587">
          <w:marLeft w:val="0"/>
          <w:marRight w:val="0"/>
          <w:marTop w:val="0"/>
          <w:marBottom w:val="0"/>
          <w:divBdr>
            <w:top w:val="none" w:sz="0" w:space="0" w:color="auto"/>
            <w:left w:val="none" w:sz="0" w:space="0" w:color="auto"/>
            <w:bottom w:val="none" w:sz="0" w:space="0" w:color="auto"/>
            <w:right w:val="none" w:sz="0" w:space="0" w:color="auto"/>
          </w:divBdr>
          <w:divsChild>
            <w:div w:id="1917662704">
              <w:marLeft w:val="0"/>
              <w:marRight w:val="0"/>
              <w:marTop w:val="0"/>
              <w:marBottom w:val="0"/>
              <w:divBdr>
                <w:top w:val="none" w:sz="0" w:space="0" w:color="auto"/>
                <w:left w:val="none" w:sz="0" w:space="0" w:color="auto"/>
                <w:bottom w:val="none" w:sz="0" w:space="0" w:color="auto"/>
                <w:right w:val="none" w:sz="0" w:space="0" w:color="auto"/>
              </w:divBdr>
              <w:divsChild>
                <w:div w:id="82871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5587">
      <w:bodyDiv w:val="1"/>
      <w:marLeft w:val="0"/>
      <w:marRight w:val="0"/>
      <w:marTop w:val="0"/>
      <w:marBottom w:val="0"/>
      <w:divBdr>
        <w:top w:val="none" w:sz="0" w:space="0" w:color="auto"/>
        <w:left w:val="none" w:sz="0" w:space="0" w:color="auto"/>
        <w:bottom w:val="none" w:sz="0" w:space="0" w:color="auto"/>
        <w:right w:val="none" w:sz="0" w:space="0" w:color="auto"/>
      </w:divBdr>
      <w:divsChild>
        <w:div w:id="1959486560">
          <w:marLeft w:val="806"/>
          <w:marRight w:val="0"/>
          <w:marTop w:val="106"/>
          <w:marBottom w:val="0"/>
          <w:divBdr>
            <w:top w:val="none" w:sz="0" w:space="0" w:color="auto"/>
            <w:left w:val="none" w:sz="0" w:space="0" w:color="auto"/>
            <w:bottom w:val="none" w:sz="0" w:space="0" w:color="auto"/>
            <w:right w:val="none" w:sz="0" w:space="0" w:color="auto"/>
          </w:divBdr>
        </w:div>
        <w:div w:id="321586145">
          <w:marLeft w:val="806"/>
          <w:marRight w:val="0"/>
          <w:marTop w:val="106"/>
          <w:marBottom w:val="0"/>
          <w:divBdr>
            <w:top w:val="none" w:sz="0" w:space="0" w:color="auto"/>
            <w:left w:val="none" w:sz="0" w:space="0" w:color="auto"/>
            <w:bottom w:val="none" w:sz="0" w:space="0" w:color="auto"/>
            <w:right w:val="none" w:sz="0" w:space="0" w:color="auto"/>
          </w:divBdr>
        </w:div>
        <w:div w:id="771632105">
          <w:marLeft w:val="806"/>
          <w:marRight w:val="0"/>
          <w:marTop w:val="106"/>
          <w:marBottom w:val="0"/>
          <w:divBdr>
            <w:top w:val="none" w:sz="0" w:space="0" w:color="auto"/>
            <w:left w:val="none" w:sz="0" w:space="0" w:color="auto"/>
            <w:bottom w:val="none" w:sz="0" w:space="0" w:color="auto"/>
            <w:right w:val="none" w:sz="0" w:space="0" w:color="auto"/>
          </w:divBdr>
        </w:div>
        <w:div w:id="1314598837">
          <w:marLeft w:val="806"/>
          <w:marRight w:val="0"/>
          <w:marTop w:val="106"/>
          <w:marBottom w:val="0"/>
          <w:divBdr>
            <w:top w:val="none" w:sz="0" w:space="0" w:color="auto"/>
            <w:left w:val="none" w:sz="0" w:space="0" w:color="auto"/>
            <w:bottom w:val="none" w:sz="0" w:space="0" w:color="auto"/>
            <w:right w:val="none" w:sz="0" w:space="0" w:color="auto"/>
          </w:divBdr>
        </w:div>
        <w:div w:id="1126312260">
          <w:marLeft w:val="806"/>
          <w:marRight w:val="0"/>
          <w:marTop w:val="106"/>
          <w:marBottom w:val="0"/>
          <w:divBdr>
            <w:top w:val="none" w:sz="0" w:space="0" w:color="auto"/>
            <w:left w:val="none" w:sz="0" w:space="0" w:color="auto"/>
            <w:bottom w:val="none" w:sz="0" w:space="0" w:color="auto"/>
            <w:right w:val="none" w:sz="0" w:space="0" w:color="auto"/>
          </w:divBdr>
        </w:div>
      </w:divsChild>
    </w:div>
    <w:div w:id="1081177231">
      <w:bodyDiv w:val="1"/>
      <w:marLeft w:val="0"/>
      <w:marRight w:val="0"/>
      <w:marTop w:val="0"/>
      <w:marBottom w:val="0"/>
      <w:divBdr>
        <w:top w:val="none" w:sz="0" w:space="0" w:color="auto"/>
        <w:left w:val="none" w:sz="0" w:space="0" w:color="auto"/>
        <w:bottom w:val="none" w:sz="0" w:space="0" w:color="auto"/>
        <w:right w:val="none" w:sz="0" w:space="0" w:color="auto"/>
      </w:divBdr>
      <w:divsChild>
        <w:div w:id="1817067022">
          <w:marLeft w:val="0"/>
          <w:marRight w:val="0"/>
          <w:marTop w:val="0"/>
          <w:marBottom w:val="0"/>
          <w:divBdr>
            <w:top w:val="none" w:sz="0" w:space="0" w:color="auto"/>
            <w:left w:val="none" w:sz="0" w:space="0" w:color="auto"/>
            <w:bottom w:val="none" w:sz="0" w:space="0" w:color="auto"/>
            <w:right w:val="none" w:sz="0" w:space="0" w:color="auto"/>
          </w:divBdr>
          <w:divsChild>
            <w:div w:id="2066903581">
              <w:marLeft w:val="0"/>
              <w:marRight w:val="0"/>
              <w:marTop w:val="0"/>
              <w:marBottom w:val="0"/>
              <w:divBdr>
                <w:top w:val="none" w:sz="0" w:space="0" w:color="auto"/>
                <w:left w:val="none" w:sz="0" w:space="0" w:color="auto"/>
                <w:bottom w:val="none" w:sz="0" w:space="0" w:color="auto"/>
                <w:right w:val="none" w:sz="0" w:space="0" w:color="auto"/>
              </w:divBdr>
              <w:divsChild>
                <w:div w:id="65360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008748">
          <w:marLeft w:val="0"/>
          <w:marRight w:val="0"/>
          <w:marTop w:val="0"/>
          <w:marBottom w:val="0"/>
          <w:divBdr>
            <w:top w:val="none" w:sz="0" w:space="0" w:color="auto"/>
            <w:left w:val="none" w:sz="0" w:space="0" w:color="auto"/>
            <w:bottom w:val="none" w:sz="0" w:space="0" w:color="auto"/>
            <w:right w:val="none" w:sz="0" w:space="0" w:color="auto"/>
          </w:divBdr>
          <w:divsChild>
            <w:div w:id="630088226">
              <w:marLeft w:val="0"/>
              <w:marRight w:val="0"/>
              <w:marTop w:val="0"/>
              <w:marBottom w:val="0"/>
              <w:divBdr>
                <w:top w:val="none" w:sz="0" w:space="0" w:color="auto"/>
                <w:left w:val="none" w:sz="0" w:space="0" w:color="auto"/>
                <w:bottom w:val="none" w:sz="0" w:space="0" w:color="auto"/>
                <w:right w:val="none" w:sz="0" w:space="0" w:color="auto"/>
              </w:divBdr>
              <w:divsChild>
                <w:div w:id="7200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575154">
      <w:bodyDiv w:val="1"/>
      <w:marLeft w:val="0"/>
      <w:marRight w:val="0"/>
      <w:marTop w:val="0"/>
      <w:marBottom w:val="0"/>
      <w:divBdr>
        <w:top w:val="none" w:sz="0" w:space="0" w:color="auto"/>
        <w:left w:val="none" w:sz="0" w:space="0" w:color="auto"/>
        <w:bottom w:val="none" w:sz="0" w:space="0" w:color="auto"/>
        <w:right w:val="none" w:sz="0" w:space="0" w:color="auto"/>
      </w:divBdr>
      <w:divsChild>
        <w:div w:id="471677297">
          <w:marLeft w:val="0"/>
          <w:marRight w:val="0"/>
          <w:marTop w:val="0"/>
          <w:marBottom w:val="0"/>
          <w:divBdr>
            <w:top w:val="none" w:sz="0" w:space="0" w:color="auto"/>
            <w:left w:val="none" w:sz="0" w:space="0" w:color="auto"/>
            <w:bottom w:val="none" w:sz="0" w:space="0" w:color="auto"/>
            <w:right w:val="none" w:sz="0" w:space="0" w:color="auto"/>
          </w:divBdr>
          <w:divsChild>
            <w:div w:id="4787452">
              <w:marLeft w:val="0"/>
              <w:marRight w:val="0"/>
              <w:marTop w:val="0"/>
              <w:marBottom w:val="0"/>
              <w:divBdr>
                <w:top w:val="none" w:sz="0" w:space="0" w:color="auto"/>
                <w:left w:val="none" w:sz="0" w:space="0" w:color="auto"/>
                <w:bottom w:val="none" w:sz="0" w:space="0" w:color="auto"/>
                <w:right w:val="none" w:sz="0" w:space="0" w:color="auto"/>
              </w:divBdr>
              <w:divsChild>
                <w:div w:id="49279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971437">
      <w:bodyDiv w:val="1"/>
      <w:marLeft w:val="0"/>
      <w:marRight w:val="0"/>
      <w:marTop w:val="0"/>
      <w:marBottom w:val="0"/>
      <w:divBdr>
        <w:top w:val="none" w:sz="0" w:space="0" w:color="auto"/>
        <w:left w:val="none" w:sz="0" w:space="0" w:color="auto"/>
        <w:bottom w:val="none" w:sz="0" w:space="0" w:color="auto"/>
        <w:right w:val="none" w:sz="0" w:space="0" w:color="auto"/>
      </w:divBdr>
      <w:divsChild>
        <w:div w:id="881096575">
          <w:marLeft w:val="547"/>
          <w:marRight w:val="0"/>
          <w:marTop w:val="115"/>
          <w:marBottom w:val="0"/>
          <w:divBdr>
            <w:top w:val="none" w:sz="0" w:space="0" w:color="auto"/>
            <w:left w:val="none" w:sz="0" w:space="0" w:color="auto"/>
            <w:bottom w:val="none" w:sz="0" w:space="0" w:color="auto"/>
            <w:right w:val="none" w:sz="0" w:space="0" w:color="auto"/>
          </w:divBdr>
        </w:div>
        <w:div w:id="662319721">
          <w:marLeft w:val="547"/>
          <w:marRight w:val="0"/>
          <w:marTop w:val="11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Data" Target="diagrams/data1.xml"/><Relationship Id="rId20" Type="http://schemas.openxmlformats.org/officeDocument/2006/relationships/header" Target="head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diagramLayout" Target="diagrams/layout1.xml"/><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image" Target="media/image1.png"/><Relationship Id="rId15" Type="http://schemas.openxmlformats.org/officeDocument/2006/relationships/diagramData" Target="diagrams/data2.xml"/><Relationship Id="rId16" Type="http://schemas.openxmlformats.org/officeDocument/2006/relationships/diagramLayout" Target="diagrams/layout2.xml"/><Relationship Id="rId17" Type="http://schemas.openxmlformats.org/officeDocument/2006/relationships/diagramQuickStyle" Target="diagrams/quickStyle2.xml"/><Relationship Id="rId18" Type="http://schemas.openxmlformats.org/officeDocument/2006/relationships/diagramColors" Target="diagrams/colors2.xml"/><Relationship Id="rId19" Type="http://schemas.microsoft.com/office/2007/relationships/diagramDrawing" Target="diagrams/drawing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globalfreedomofexpression.columbia.edu/cases/marathe-v-the-sta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0490E5-6B46-B141-A097-37B99A3A8CDC}" type="doc">
      <dgm:prSet loTypeId="urn:microsoft.com/office/officeart/2005/8/layout/pyramid1" loCatId="" qsTypeId="urn:microsoft.com/office/officeart/2005/8/quickstyle/simple4" qsCatId="simple" csTypeId="urn:microsoft.com/office/officeart/2005/8/colors/colorful2" csCatId="colorful" phldr="1"/>
      <dgm:spPr/>
    </dgm:pt>
    <dgm:pt modelId="{92DA6A42-25AB-5A48-9BA0-1DF00CD21F8E}">
      <dgm:prSet phldrT="[Text]" custT="1"/>
      <dgm:spPr/>
      <dgm:t>
        <a:bodyPr/>
        <a:lstStyle/>
        <a:p>
          <a:r>
            <a:rPr lang="en-US" sz="1400" b="1" dirty="0"/>
            <a:t>Incitement to genocide</a:t>
          </a:r>
        </a:p>
      </dgm:t>
    </dgm:pt>
    <dgm:pt modelId="{D40B8855-0907-8B48-88AA-4C3FF75AA10A}" type="parTrans" cxnId="{DD614DC2-0759-1948-BDE4-0954B0A415D2}">
      <dgm:prSet/>
      <dgm:spPr/>
      <dgm:t>
        <a:bodyPr/>
        <a:lstStyle/>
        <a:p>
          <a:endParaRPr lang="en-US"/>
        </a:p>
      </dgm:t>
    </dgm:pt>
    <dgm:pt modelId="{6A136CCC-70C4-9B4E-8950-C8FEF21ACB9B}" type="sibTrans" cxnId="{DD614DC2-0759-1948-BDE4-0954B0A415D2}">
      <dgm:prSet/>
      <dgm:spPr/>
      <dgm:t>
        <a:bodyPr/>
        <a:lstStyle/>
        <a:p>
          <a:endParaRPr lang="en-US"/>
        </a:p>
      </dgm:t>
    </dgm:pt>
    <dgm:pt modelId="{748BB355-D307-604C-86F4-DB238887FEA2}">
      <dgm:prSet phldrT="[Text]" custT="1"/>
      <dgm:spPr>
        <a:solidFill>
          <a:schemeClr val="accent2">
            <a:lumMod val="60000"/>
            <a:lumOff val="40000"/>
          </a:schemeClr>
        </a:solidFill>
      </dgm:spPr>
      <dgm:t>
        <a:bodyPr/>
        <a:lstStyle/>
        <a:p>
          <a:r>
            <a:rPr lang="en-US" sz="1600" b="1" dirty="0" smtClean="0"/>
            <a:t>Incitement </a:t>
          </a:r>
          <a:r>
            <a:rPr lang="en-US" sz="1600" b="1" dirty="0"/>
            <a:t>to </a:t>
          </a:r>
          <a:r>
            <a:rPr lang="en-US" sz="1600" b="1" dirty="0" smtClean="0"/>
            <a:t>violence and to terrorism</a:t>
          </a:r>
          <a:endParaRPr lang="en-US" sz="1600" b="1" dirty="0"/>
        </a:p>
      </dgm:t>
    </dgm:pt>
    <dgm:pt modelId="{381608A3-A632-9E46-946C-5AF9912E4B46}" type="parTrans" cxnId="{B1A4F57C-80B5-F54E-BD6E-6B9F39CE7C41}">
      <dgm:prSet/>
      <dgm:spPr/>
      <dgm:t>
        <a:bodyPr/>
        <a:lstStyle/>
        <a:p>
          <a:endParaRPr lang="en-US"/>
        </a:p>
      </dgm:t>
    </dgm:pt>
    <dgm:pt modelId="{3D5106E7-56D4-6543-8B7D-6ED502724642}" type="sibTrans" cxnId="{B1A4F57C-80B5-F54E-BD6E-6B9F39CE7C41}">
      <dgm:prSet/>
      <dgm:spPr/>
      <dgm:t>
        <a:bodyPr/>
        <a:lstStyle/>
        <a:p>
          <a:endParaRPr lang="en-US"/>
        </a:p>
      </dgm:t>
    </dgm:pt>
    <dgm:pt modelId="{29CC228B-281E-AA4F-BDF3-FCA9D751D362}">
      <dgm:prSet phldrT="[Text]"/>
      <dgm:spPr>
        <a:solidFill>
          <a:schemeClr val="accent2">
            <a:lumMod val="40000"/>
            <a:lumOff val="60000"/>
          </a:schemeClr>
        </a:solidFill>
      </dgm:spPr>
      <dgm:t>
        <a:bodyPr/>
        <a:lstStyle/>
        <a:p>
          <a:r>
            <a:rPr lang="en-US" b="1" dirty="0" smtClean="0"/>
            <a:t>Incitement to discrimination</a:t>
          </a:r>
          <a:endParaRPr lang="en-US" b="1" dirty="0"/>
        </a:p>
      </dgm:t>
    </dgm:pt>
    <dgm:pt modelId="{74861C3C-01EE-C44A-9554-0D6E00602A9A}" type="parTrans" cxnId="{1A1AE811-18DE-A74E-88C5-B9D8793F274B}">
      <dgm:prSet/>
      <dgm:spPr/>
      <dgm:t>
        <a:bodyPr/>
        <a:lstStyle/>
        <a:p>
          <a:endParaRPr lang="en-US"/>
        </a:p>
      </dgm:t>
    </dgm:pt>
    <dgm:pt modelId="{A64B37A1-8966-C241-A912-783A7123378E}" type="sibTrans" cxnId="{1A1AE811-18DE-A74E-88C5-B9D8793F274B}">
      <dgm:prSet/>
      <dgm:spPr/>
      <dgm:t>
        <a:bodyPr/>
        <a:lstStyle/>
        <a:p>
          <a:endParaRPr lang="en-US"/>
        </a:p>
      </dgm:t>
    </dgm:pt>
    <dgm:pt modelId="{69FD9CA5-3264-FD45-ADD7-4768B5414A7B}">
      <dgm:prSet/>
      <dgm:spPr>
        <a:solidFill>
          <a:schemeClr val="accent5">
            <a:lumMod val="60000"/>
            <a:lumOff val="40000"/>
          </a:schemeClr>
        </a:solidFill>
      </dgm:spPr>
      <dgm:t>
        <a:bodyPr/>
        <a:lstStyle/>
        <a:p>
          <a:r>
            <a:rPr lang="en-US" b="1" dirty="0" smtClean="0"/>
            <a:t>Other Hate </a:t>
          </a:r>
          <a:r>
            <a:rPr lang="en-US" b="1" dirty="0"/>
            <a:t>Speech Acts </a:t>
          </a:r>
          <a:r>
            <a:rPr lang="en-US" b="1" dirty="0" smtClean="0"/>
            <a:t>that disseminate, propagate or spread hostility and hatred, negative stereotypes, etc.  </a:t>
          </a:r>
        </a:p>
      </dgm:t>
    </dgm:pt>
    <dgm:pt modelId="{8710C75A-78A9-0A49-B849-5DBBFCA237A1}" type="parTrans" cxnId="{2CE414BD-2E6E-8642-A997-253865CA4A37}">
      <dgm:prSet/>
      <dgm:spPr/>
      <dgm:t>
        <a:bodyPr/>
        <a:lstStyle/>
        <a:p>
          <a:endParaRPr lang="en-US"/>
        </a:p>
      </dgm:t>
    </dgm:pt>
    <dgm:pt modelId="{95770798-B1DC-9E41-851D-6D0CEFDAD74A}" type="sibTrans" cxnId="{2CE414BD-2E6E-8642-A997-253865CA4A37}">
      <dgm:prSet/>
      <dgm:spPr/>
      <dgm:t>
        <a:bodyPr/>
        <a:lstStyle/>
        <a:p>
          <a:endParaRPr lang="en-US"/>
        </a:p>
      </dgm:t>
    </dgm:pt>
    <dgm:pt modelId="{CE05C135-A0E7-4841-882A-C8D831223E8E}">
      <dgm:prSet/>
      <dgm:spPr/>
      <dgm:t>
        <a:bodyPr/>
        <a:lstStyle/>
        <a:p>
          <a:r>
            <a:rPr lang="en-US" b="1" dirty="0" smtClean="0"/>
            <a:t>Glorify, Promote, Justify  </a:t>
          </a:r>
        </a:p>
        <a:p>
          <a:r>
            <a:rPr lang="en-US" b="1" dirty="0" smtClean="0"/>
            <a:t>(racial superiority, racism, terrorism) and Vilify  </a:t>
          </a:r>
          <a:endParaRPr lang="en-US" b="1" dirty="0"/>
        </a:p>
      </dgm:t>
    </dgm:pt>
    <dgm:pt modelId="{F87894F8-A633-7F4D-9DC4-F2AF513A62BA}" type="parTrans" cxnId="{3CAEEBFD-365D-4541-8165-4F9CF0068264}">
      <dgm:prSet/>
      <dgm:spPr/>
      <dgm:t>
        <a:bodyPr/>
        <a:lstStyle/>
        <a:p>
          <a:endParaRPr lang="en-US"/>
        </a:p>
      </dgm:t>
    </dgm:pt>
    <dgm:pt modelId="{F1453021-C8AD-E747-87B9-1FD9CEA9E845}" type="sibTrans" cxnId="{3CAEEBFD-365D-4541-8165-4F9CF0068264}">
      <dgm:prSet/>
      <dgm:spPr/>
      <dgm:t>
        <a:bodyPr/>
        <a:lstStyle/>
        <a:p>
          <a:endParaRPr lang="en-US"/>
        </a:p>
      </dgm:t>
    </dgm:pt>
    <dgm:pt modelId="{56CE5B90-8F27-4A46-A72A-5E8CACBFBE1A}" type="pres">
      <dgm:prSet presAssocID="{C00490E5-6B46-B141-A097-37B99A3A8CDC}" presName="Name0" presStyleCnt="0">
        <dgm:presLayoutVars>
          <dgm:dir/>
          <dgm:animLvl val="lvl"/>
          <dgm:resizeHandles val="exact"/>
        </dgm:presLayoutVars>
      </dgm:prSet>
      <dgm:spPr/>
    </dgm:pt>
    <dgm:pt modelId="{9BF23946-7AF1-2143-8E65-BE3FD6AEB5C2}" type="pres">
      <dgm:prSet presAssocID="{92DA6A42-25AB-5A48-9BA0-1DF00CD21F8E}" presName="Name8" presStyleCnt="0"/>
      <dgm:spPr/>
    </dgm:pt>
    <dgm:pt modelId="{B29CC38C-27AA-A74F-BE0D-9ECC5AAF441D}" type="pres">
      <dgm:prSet presAssocID="{92DA6A42-25AB-5A48-9BA0-1DF00CD21F8E}" presName="level" presStyleLbl="node1" presStyleIdx="0" presStyleCnt="5">
        <dgm:presLayoutVars>
          <dgm:chMax val="1"/>
          <dgm:bulletEnabled val="1"/>
        </dgm:presLayoutVars>
      </dgm:prSet>
      <dgm:spPr/>
      <dgm:t>
        <a:bodyPr/>
        <a:lstStyle/>
        <a:p>
          <a:endParaRPr lang="en-US"/>
        </a:p>
      </dgm:t>
    </dgm:pt>
    <dgm:pt modelId="{1DA37002-B39A-DF43-9524-56D9989CEC23}" type="pres">
      <dgm:prSet presAssocID="{92DA6A42-25AB-5A48-9BA0-1DF00CD21F8E}" presName="levelTx" presStyleLbl="revTx" presStyleIdx="0" presStyleCnt="0">
        <dgm:presLayoutVars>
          <dgm:chMax val="1"/>
          <dgm:bulletEnabled val="1"/>
        </dgm:presLayoutVars>
      </dgm:prSet>
      <dgm:spPr/>
      <dgm:t>
        <a:bodyPr/>
        <a:lstStyle/>
        <a:p>
          <a:endParaRPr lang="en-US"/>
        </a:p>
      </dgm:t>
    </dgm:pt>
    <dgm:pt modelId="{B3B6F8CE-98DF-A147-BFBF-3155523FD951}" type="pres">
      <dgm:prSet presAssocID="{748BB355-D307-604C-86F4-DB238887FEA2}" presName="Name8" presStyleCnt="0"/>
      <dgm:spPr/>
    </dgm:pt>
    <dgm:pt modelId="{242193F0-688B-3B43-933D-257D1A927EB3}" type="pres">
      <dgm:prSet presAssocID="{748BB355-D307-604C-86F4-DB238887FEA2}" presName="level" presStyleLbl="node1" presStyleIdx="1" presStyleCnt="5">
        <dgm:presLayoutVars>
          <dgm:chMax val="1"/>
          <dgm:bulletEnabled val="1"/>
        </dgm:presLayoutVars>
      </dgm:prSet>
      <dgm:spPr/>
      <dgm:t>
        <a:bodyPr/>
        <a:lstStyle/>
        <a:p>
          <a:endParaRPr lang="en-US"/>
        </a:p>
      </dgm:t>
    </dgm:pt>
    <dgm:pt modelId="{0CFCD2FB-4F68-C946-A646-43EA4765794F}" type="pres">
      <dgm:prSet presAssocID="{748BB355-D307-604C-86F4-DB238887FEA2}" presName="levelTx" presStyleLbl="revTx" presStyleIdx="0" presStyleCnt="0">
        <dgm:presLayoutVars>
          <dgm:chMax val="1"/>
          <dgm:bulletEnabled val="1"/>
        </dgm:presLayoutVars>
      </dgm:prSet>
      <dgm:spPr/>
      <dgm:t>
        <a:bodyPr/>
        <a:lstStyle/>
        <a:p>
          <a:endParaRPr lang="en-US"/>
        </a:p>
      </dgm:t>
    </dgm:pt>
    <dgm:pt modelId="{501BE397-A776-4F42-B759-53D372FF8630}" type="pres">
      <dgm:prSet presAssocID="{29CC228B-281E-AA4F-BDF3-FCA9D751D362}" presName="Name8" presStyleCnt="0"/>
      <dgm:spPr/>
    </dgm:pt>
    <dgm:pt modelId="{BF484B50-0496-804E-8AC2-FDEE704759F7}" type="pres">
      <dgm:prSet presAssocID="{29CC228B-281E-AA4F-BDF3-FCA9D751D362}" presName="level" presStyleLbl="node1" presStyleIdx="2" presStyleCnt="5" custScaleY="99999">
        <dgm:presLayoutVars>
          <dgm:chMax val="1"/>
          <dgm:bulletEnabled val="1"/>
        </dgm:presLayoutVars>
      </dgm:prSet>
      <dgm:spPr/>
      <dgm:t>
        <a:bodyPr/>
        <a:lstStyle/>
        <a:p>
          <a:endParaRPr lang="en-US"/>
        </a:p>
      </dgm:t>
    </dgm:pt>
    <dgm:pt modelId="{42787434-CD70-3B44-8C30-2D5098C6CD4F}" type="pres">
      <dgm:prSet presAssocID="{29CC228B-281E-AA4F-BDF3-FCA9D751D362}" presName="levelTx" presStyleLbl="revTx" presStyleIdx="0" presStyleCnt="0">
        <dgm:presLayoutVars>
          <dgm:chMax val="1"/>
          <dgm:bulletEnabled val="1"/>
        </dgm:presLayoutVars>
      </dgm:prSet>
      <dgm:spPr/>
      <dgm:t>
        <a:bodyPr/>
        <a:lstStyle/>
        <a:p>
          <a:endParaRPr lang="en-US"/>
        </a:p>
      </dgm:t>
    </dgm:pt>
    <dgm:pt modelId="{BA36A406-F8C4-264C-B945-B8127B504936}" type="pres">
      <dgm:prSet presAssocID="{CE05C135-A0E7-4841-882A-C8D831223E8E}" presName="Name8" presStyleCnt="0"/>
      <dgm:spPr/>
    </dgm:pt>
    <dgm:pt modelId="{4B3D197D-B234-8E46-93B3-D19BADDE5121}" type="pres">
      <dgm:prSet presAssocID="{CE05C135-A0E7-4841-882A-C8D831223E8E}" presName="level" presStyleLbl="node1" presStyleIdx="3" presStyleCnt="5">
        <dgm:presLayoutVars>
          <dgm:chMax val="1"/>
          <dgm:bulletEnabled val="1"/>
        </dgm:presLayoutVars>
      </dgm:prSet>
      <dgm:spPr/>
      <dgm:t>
        <a:bodyPr/>
        <a:lstStyle/>
        <a:p>
          <a:endParaRPr lang="en-US"/>
        </a:p>
      </dgm:t>
    </dgm:pt>
    <dgm:pt modelId="{F60DED8C-2132-0B4D-AB79-BE4AE5FDA772}" type="pres">
      <dgm:prSet presAssocID="{CE05C135-A0E7-4841-882A-C8D831223E8E}" presName="levelTx" presStyleLbl="revTx" presStyleIdx="0" presStyleCnt="0">
        <dgm:presLayoutVars>
          <dgm:chMax val="1"/>
          <dgm:bulletEnabled val="1"/>
        </dgm:presLayoutVars>
      </dgm:prSet>
      <dgm:spPr/>
      <dgm:t>
        <a:bodyPr/>
        <a:lstStyle/>
        <a:p>
          <a:endParaRPr lang="en-US"/>
        </a:p>
      </dgm:t>
    </dgm:pt>
    <dgm:pt modelId="{BAFA11A9-89E6-4C42-A9EE-DA01364D5316}" type="pres">
      <dgm:prSet presAssocID="{69FD9CA5-3264-FD45-ADD7-4768B5414A7B}" presName="Name8" presStyleCnt="0"/>
      <dgm:spPr/>
    </dgm:pt>
    <dgm:pt modelId="{0E6EF710-6991-D249-B5D2-C636C1596029}" type="pres">
      <dgm:prSet presAssocID="{69FD9CA5-3264-FD45-ADD7-4768B5414A7B}" presName="level" presStyleLbl="node1" presStyleIdx="4" presStyleCnt="5">
        <dgm:presLayoutVars>
          <dgm:chMax val="1"/>
          <dgm:bulletEnabled val="1"/>
        </dgm:presLayoutVars>
      </dgm:prSet>
      <dgm:spPr/>
      <dgm:t>
        <a:bodyPr/>
        <a:lstStyle/>
        <a:p>
          <a:endParaRPr lang="en-US"/>
        </a:p>
      </dgm:t>
    </dgm:pt>
    <dgm:pt modelId="{6DF5F01D-E18D-B74A-9DE7-D7CF511E9FCC}" type="pres">
      <dgm:prSet presAssocID="{69FD9CA5-3264-FD45-ADD7-4768B5414A7B}" presName="levelTx" presStyleLbl="revTx" presStyleIdx="0" presStyleCnt="0">
        <dgm:presLayoutVars>
          <dgm:chMax val="1"/>
          <dgm:bulletEnabled val="1"/>
        </dgm:presLayoutVars>
      </dgm:prSet>
      <dgm:spPr/>
      <dgm:t>
        <a:bodyPr/>
        <a:lstStyle/>
        <a:p>
          <a:endParaRPr lang="en-US"/>
        </a:p>
      </dgm:t>
    </dgm:pt>
  </dgm:ptLst>
  <dgm:cxnLst>
    <dgm:cxn modelId="{AC35853C-F7BE-B14D-9863-EDC364F803AD}" type="presOf" srcId="{748BB355-D307-604C-86F4-DB238887FEA2}" destId="{242193F0-688B-3B43-933D-257D1A927EB3}" srcOrd="0" destOrd="0" presId="urn:microsoft.com/office/officeart/2005/8/layout/pyramid1"/>
    <dgm:cxn modelId="{9BA1EB28-87EF-CE47-B4DB-C619288026F3}" type="presOf" srcId="{748BB355-D307-604C-86F4-DB238887FEA2}" destId="{0CFCD2FB-4F68-C946-A646-43EA4765794F}" srcOrd="1" destOrd="0" presId="urn:microsoft.com/office/officeart/2005/8/layout/pyramid1"/>
    <dgm:cxn modelId="{F01B6658-9D14-3D4E-BC90-A09A94736EFD}" type="presOf" srcId="{C00490E5-6B46-B141-A097-37B99A3A8CDC}" destId="{56CE5B90-8F27-4A46-A72A-5E8CACBFBE1A}" srcOrd="0" destOrd="0" presId="urn:microsoft.com/office/officeart/2005/8/layout/pyramid1"/>
    <dgm:cxn modelId="{1A1AE811-18DE-A74E-88C5-B9D8793F274B}" srcId="{C00490E5-6B46-B141-A097-37B99A3A8CDC}" destId="{29CC228B-281E-AA4F-BDF3-FCA9D751D362}" srcOrd="2" destOrd="0" parTransId="{74861C3C-01EE-C44A-9554-0D6E00602A9A}" sibTransId="{A64B37A1-8966-C241-A912-783A7123378E}"/>
    <dgm:cxn modelId="{F01E4C70-673A-754B-AEB7-20B909FC82F9}" type="presOf" srcId="{92DA6A42-25AB-5A48-9BA0-1DF00CD21F8E}" destId="{B29CC38C-27AA-A74F-BE0D-9ECC5AAF441D}" srcOrd="0" destOrd="0" presId="urn:microsoft.com/office/officeart/2005/8/layout/pyramid1"/>
    <dgm:cxn modelId="{E0571A2F-3EB3-ED4F-93A9-931CECED8469}" type="presOf" srcId="{92DA6A42-25AB-5A48-9BA0-1DF00CD21F8E}" destId="{1DA37002-B39A-DF43-9524-56D9989CEC23}" srcOrd="1" destOrd="0" presId="urn:microsoft.com/office/officeart/2005/8/layout/pyramid1"/>
    <dgm:cxn modelId="{B8E74917-57D9-2D4D-AA9A-6242E7930AD3}" type="presOf" srcId="{29CC228B-281E-AA4F-BDF3-FCA9D751D362}" destId="{BF484B50-0496-804E-8AC2-FDEE704759F7}" srcOrd="0" destOrd="0" presId="urn:microsoft.com/office/officeart/2005/8/layout/pyramid1"/>
    <dgm:cxn modelId="{B21D8F6A-1AD1-A740-955A-39F489903E42}" type="presOf" srcId="{CE05C135-A0E7-4841-882A-C8D831223E8E}" destId="{4B3D197D-B234-8E46-93B3-D19BADDE5121}" srcOrd="0" destOrd="0" presId="urn:microsoft.com/office/officeart/2005/8/layout/pyramid1"/>
    <dgm:cxn modelId="{99693BA6-4F40-7843-8E03-34E1DD706980}" type="presOf" srcId="{29CC228B-281E-AA4F-BDF3-FCA9D751D362}" destId="{42787434-CD70-3B44-8C30-2D5098C6CD4F}" srcOrd="1" destOrd="0" presId="urn:microsoft.com/office/officeart/2005/8/layout/pyramid1"/>
    <dgm:cxn modelId="{0FDE2058-70EA-D240-958C-85892F1F5AE5}" type="presOf" srcId="{69FD9CA5-3264-FD45-ADD7-4768B5414A7B}" destId="{6DF5F01D-E18D-B74A-9DE7-D7CF511E9FCC}" srcOrd="1" destOrd="0" presId="urn:microsoft.com/office/officeart/2005/8/layout/pyramid1"/>
    <dgm:cxn modelId="{2CE414BD-2E6E-8642-A997-253865CA4A37}" srcId="{C00490E5-6B46-B141-A097-37B99A3A8CDC}" destId="{69FD9CA5-3264-FD45-ADD7-4768B5414A7B}" srcOrd="4" destOrd="0" parTransId="{8710C75A-78A9-0A49-B849-5DBBFCA237A1}" sibTransId="{95770798-B1DC-9E41-851D-6D0CEFDAD74A}"/>
    <dgm:cxn modelId="{BC872F8E-D8A6-3E45-95A3-0522EB8330D7}" type="presOf" srcId="{CE05C135-A0E7-4841-882A-C8D831223E8E}" destId="{F60DED8C-2132-0B4D-AB79-BE4AE5FDA772}" srcOrd="1" destOrd="0" presId="urn:microsoft.com/office/officeart/2005/8/layout/pyramid1"/>
    <dgm:cxn modelId="{B1A4F57C-80B5-F54E-BD6E-6B9F39CE7C41}" srcId="{C00490E5-6B46-B141-A097-37B99A3A8CDC}" destId="{748BB355-D307-604C-86F4-DB238887FEA2}" srcOrd="1" destOrd="0" parTransId="{381608A3-A632-9E46-946C-5AF9912E4B46}" sibTransId="{3D5106E7-56D4-6543-8B7D-6ED502724642}"/>
    <dgm:cxn modelId="{DD614DC2-0759-1948-BDE4-0954B0A415D2}" srcId="{C00490E5-6B46-B141-A097-37B99A3A8CDC}" destId="{92DA6A42-25AB-5A48-9BA0-1DF00CD21F8E}" srcOrd="0" destOrd="0" parTransId="{D40B8855-0907-8B48-88AA-4C3FF75AA10A}" sibTransId="{6A136CCC-70C4-9B4E-8950-C8FEF21ACB9B}"/>
    <dgm:cxn modelId="{67C467F1-F583-B143-8854-2E40579E66D0}" type="presOf" srcId="{69FD9CA5-3264-FD45-ADD7-4768B5414A7B}" destId="{0E6EF710-6991-D249-B5D2-C636C1596029}" srcOrd="0" destOrd="0" presId="urn:microsoft.com/office/officeart/2005/8/layout/pyramid1"/>
    <dgm:cxn modelId="{3CAEEBFD-365D-4541-8165-4F9CF0068264}" srcId="{C00490E5-6B46-B141-A097-37B99A3A8CDC}" destId="{CE05C135-A0E7-4841-882A-C8D831223E8E}" srcOrd="3" destOrd="0" parTransId="{F87894F8-A633-7F4D-9DC4-F2AF513A62BA}" sibTransId="{F1453021-C8AD-E747-87B9-1FD9CEA9E845}"/>
    <dgm:cxn modelId="{E30A9BD6-BF9A-F147-90F7-10FC5EFF2D73}" type="presParOf" srcId="{56CE5B90-8F27-4A46-A72A-5E8CACBFBE1A}" destId="{9BF23946-7AF1-2143-8E65-BE3FD6AEB5C2}" srcOrd="0" destOrd="0" presId="urn:microsoft.com/office/officeart/2005/8/layout/pyramid1"/>
    <dgm:cxn modelId="{D60EA92F-7653-9042-90D9-9770F30FBC65}" type="presParOf" srcId="{9BF23946-7AF1-2143-8E65-BE3FD6AEB5C2}" destId="{B29CC38C-27AA-A74F-BE0D-9ECC5AAF441D}" srcOrd="0" destOrd="0" presId="urn:microsoft.com/office/officeart/2005/8/layout/pyramid1"/>
    <dgm:cxn modelId="{D4A5F29A-2CBA-F943-9D92-BDC475175323}" type="presParOf" srcId="{9BF23946-7AF1-2143-8E65-BE3FD6AEB5C2}" destId="{1DA37002-B39A-DF43-9524-56D9989CEC23}" srcOrd="1" destOrd="0" presId="urn:microsoft.com/office/officeart/2005/8/layout/pyramid1"/>
    <dgm:cxn modelId="{FD1010D8-3218-924F-8132-9E3DC6B4ED9B}" type="presParOf" srcId="{56CE5B90-8F27-4A46-A72A-5E8CACBFBE1A}" destId="{B3B6F8CE-98DF-A147-BFBF-3155523FD951}" srcOrd="1" destOrd="0" presId="urn:microsoft.com/office/officeart/2005/8/layout/pyramid1"/>
    <dgm:cxn modelId="{356DB01F-38BC-F049-80FC-1C692153B115}" type="presParOf" srcId="{B3B6F8CE-98DF-A147-BFBF-3155523FD951}" destId="{242193F0-688B-3B43-933D-257D1A927EB3}" srcOrd="0" destOrd="0" presId="urn:microsoft.com/office/officeart/2005/8/layout/pyramid1"/>
    <dgm:cxn modelId="{45F51C5E-384F-4846-85A9-691DCE1ED722}" type="presParOf" srcId="{B3B6F8CE-98DF-A147-BFBF-3155523FD951}" destId="{0CFCD2FB-4F68-C946-A646-43EA4765794F}" srcOrd="1" destOrd="0" presId="urn:microsoft.com/office/officeart/2005/8/layout/pyramid1"/>
    <dgm:cxn modelId="{DE68CD7A-11E8-3A43-BE92-FADF2E3B7EA6}" type="presParOf" srcId="{56CE5B90-8F27-4A46-A72A-5E8CACBFBE1A}" destId="{501BE397-A776-4F42-B759-53D372FF8630}" srcOrd="2" destOrd="0" presId="urn:microsoft.com/office/officeart/2005/8/layout/pyramid1"/>
    <dgm:cxn modelId="{43AB1604-E668-4548-8D85-A18DD5426AB3}" type="presParOf" srcId="{501BE397-A776-4F42-B759-53D372FF8630}" destId="{BF484B50-0496-804E-8AC2-FDEE704759F7}" srcOrd="0" destOrd="0" presId="urn:microsoft.com/office/officeart/2005/8/layout/pyramid1"/>
    <dgm:cxn modelId="{61FFF776-5419-9247-878E-3CBECBF68602}" type="presParOf" srcId="{501BE397-A776-4F42-B759-53D372FF8630}" destId="{42787434-CD70-3B44-8C30-2D5098C6CD4F}" srcOrd="1" destOrd="0" presId="urn:microsoft.com/office/officeart/2005/8/layout/pyramid1"/>
    <dgm:cxn modelId="{F4C8993D-EFF1-B14C-8E10-DFFCDF721690}" type="presParOf" srcId="{56CE5B90-8F27-4A46-A72A-5E8CACBFBE1A}" destId="{BA36A406-F8C4-264C-B945-B8127B504936}" srcOrd="3" destOrd="0" presId="urn:microsoft.com/office/officeart/2005/8/layout/pyramid1"/>
    <dgm:cxn modelId="{316F2C1F-B7CD-D046-A03A-A4E7EB3C539D}" type="presParOf" srcId="{BA36A406-F8C4-264C-B945-B8127B504936}" destId="{4B3D197D-B234-8E46-93B3-D19BADDE5121}" srcOrd="0" destOrd="0" presId="urn:microsoft.com/office/officeart/2005/8/layout/pyramid1"/>
    <dgm:cxn modelId="{9B6C0EA7-00C1-7448-AFB9-735D8F6F744F}" type="presParOf" srcId="{BA36A406-F8C4-264C-B945-B8127B504936}" destId="{F60DED8C-2132-0B4D-AB79-BE4AE5FDA772}" srcOrd="1" destOrd="0" presId="urn:microsoft.com/office/officeart/2005/8/layout/pyramid1"/>
    <dgm:cxn modelId="{B58CE043-6421-724D-AF0C-ADC2ADB0F8CE}" type="presParOf" srcId="{56CE5B90-8F27-4A46-A72A-5E8CACBFBE1A}" destId="{BAFA11A9-89E6-4C42-A9EE-DA01364D5316}" srcOrd="4" destOrd="0" presId="urn:microsoft.com/office/officeart/2005/8/layout/pyramid1"/>
    <dgm:cxn modelId="{31BD2BBE-F0BD-A347-A773-E8A718B6E8C9}" type="presParOf" srcId="{BAFA11A9-89E6-4C42-A9EE-DA01364D5316}" destId="{0E6EF710-6991-D249-B5D2-C636C1596029}" srcOrd="0" destOrd="0" presId="urn:microsoft.com/office/officeart/2005/8/layout/pyramid1"/>
    <dgm:cxn modelId="{EF1703C3-50A2-5D40-9315-C293F971E74E}" type="presParOf" srcId="{BAFA11A9-89E6-4C42-A9EE-DA01364D5316}" destId="{6DF5F01D-E18D-B74A-9DE7-D7CF511E9FCC}" srcOrd="1" destOrd="0" presId="urn:microsoft.com/office/officeart/2005/8/layout/pyramid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295DBA3-02B9-B24E-8EBB-9BD0D1DB4EFB}" type="doc">
      <dgm:prSet loTypeId="urn:microsoft.com/office/officeart/2005/8/layout/pyramid1" loCatId="" qsTypeId="urn:microsoft.com/office/officeart/2005/8/quickstyle/simple4" qsCatId="simple" csTypeId="urn:microsoft.com/office/officeart/2005/8/colors/colorful1" csCatId="colorful" phldr="1"/>
      <dgm:spPr/>
    </dgm:pt>
    <dgm:pt modelId="{80E6790A-859C-A94E-ADEE-3850EDD6D4CA}">
      <dgm:prSet phldrT="[Text]" custT="1"/>
      <dgm:spPr/>
      <dgm:t>
        <a:bodyPr/>
        <a:lstStyle/>
        <a:p>
          <a:r>
            <a:rPr lang="en-US" sz="2000" b="1" dirty="0" smtClean="0">
              <a:latin typeface="+mj-lt"/>
            </a:rPr>
            <a:t>Incitement Speech </a:t>
          </a:r>
          <a:r>
            <a:rPr lang="en-US" sz="1400" dirty="0" smtClean="0">
              <a:latin typeface="+mj-lt"/>
            </a:rPr>
            <a:t>(Must be prohibited as per The Genocide Convention, Article 20 of the ICCPR and Article 4 </a:t>
          </a:r>
          <a:r>
            <a:rPr lang="en-US" sz="1600" dirty="0" smtClean="0">
              <a:latin typeface="+mj-lt"/>
            </a:rPr>
            <a:t>of ICERD)</a:t>
          </a:r>
          <a:endParaRPr lang="en-US" sz="1600" dirty="0">
            <a:latin typeface="+mj-lt"/>
          </a:endParaRPr>
        </a:p>
      </dgm:t>
    </dgm:pt>
    <dgm:pt modelId="{E7BD25E7-54AA-BA48-A1EE-B609FB75601A}" type="parTrans" cxnId="{39077973-66A3-A54C-9376-5FA0C40787CC}">
      <dgm:prSet/>
      <dgm:spPr/>
      <dgm:t>
        <a:bodyPr/>
        <a:lstStyle/>
        <a:p>
          <a:endParaRPr lang="en-US"/>
        </a:p>
      </dgm:t>
    </dgm:pt>
    <dgm:pt modelId="{E2917D5C-508C-074A-B69F-DB12F90F0CBB}" type="sibTrans" cxnId="{39077973-66A3-A54C-9376-5FA0C40787CC}">
      <dgm:prSet/>
      <dgm:spPr/>
      <dgm:t>
        <a:bodyPr/>
        <a:lstStyle/>
        <a:p>
          <a:endParaRPr lang="en-US"/>
        </a:p>
      </dgm:t>
    </dgm:pt>
    <dgm:pt modelId="{E7D8F9F2-827C-4B4C-BA78-A08BBC78B9AE}">
      <dgm:prSet phldrT="[Text]" custT="1"/>
      <dgm:spPr/>
      <dgm:t>
        <a:bodyPr/>
        <a:lstStyle/>
        <a:p>
          <a:r>
            <a:rPr lang="en-US" sz="2300" b="1" dirty="0" smtClean="0">
              <a:latin typeface="+mj-lt"/>
            </a:rPr>
            <a:t>Hate Speech </a:t>
          </a:r>
          <a:r>
            <a:rPr lang="en-US" sz="1400" dirty="0" smtClean="0">
              <a:latin typeface="+mj-lt"/>
            </a:rPr>
            <a:t>(May be restricted under Article 19 of the ICCPR, Must be restricted under Article 4 of </a:t>
          </a:r>
          <a:r>
            <a:rPr lang="en-US" sz="1600" dirty="0" smtClean="0">
              <a:latin typeface="+mj-lt"/>
            </a:rPr>
            <a:t>ICERD)</a:t>
          </a:r>
          <a:endParaRPr lang="en-US" sz="1600" dirty="0">
            <a:latin typeface="+mj-lt"/>
          </a:endParaRPr>
        </a:p>
      </dgm:t>
    </dgm:pt>
    <dgm:pt modelId="{EC1B33A5-AB23-4E47-ACF8-AFC0DC1E9E99}" type="parTrans" cxnId="{1DA5EF9B-0F49-C342-A4D7-0C13C451E5C1}">
      <dgm:prSet/>
      <dgm:spPr/>
      <dgm:t>
        <a:bodyPr/>
        <a:lstStyle/>
        <a:p>
          <a:endParaRPr lang="en-US"/>
        </a:p>
      </dgm:t>
    </dgm:pt>
    <dgm:pt modelId="{4B90A54F-004F-2845-A25C-DE4F4D0D44A1}" type="sibTrans" cxnId="{1DA5EF9B-0F49-C342-A4D7-0C13C451E5C1}">
      <dgm:prSet/>
      <dgm:spPr/>
      <dgm:t>
        <a:bodyPr/>
        <a:lstStyle/>
        <a:p>
          <a:endParaRPr lang="en-US"/>
        </a:p>
      </dgm:t>
    </dgm:pt>
    <dgm:pt modelId="{49B2F6F1-6640-024A-BF86-400F7CC985A5}">
      <dgm:prSet phldrT="[Text]" custT="1"/>
      <dgm:spPr/>
      <dgm:t>
        <a:bodyPr/>
        <a:lstStyle/>
        <a:p>
          <a:r>
            <a:rPr lang="en-US" sz="2400" b="1" dirty="0" smtClean="0">
              <a:latin typeface="+mj-lt"/>
            </a:rPr>
            <a:t>Offensive Speech </a:t>
          </a:r>
          <a:r>
            <a:rPr lang="en-US" sz="1400" dirty="0" smtClean="0">
              <a:latin typeface="+mj-lt"/>
            </a:rPr>
            <a:t>(Protected under article 19 of the ICCPR; Notable exceptions around the world)</a:t>
          </a:r>
          <a:r>
            <a:rPr lang="en-US" sz="2900" dirty="0" smtClean="0">
              <a:latin typeface="+mj-lt"/>
            </a:rPr>
            <a:t>. </a:t>
          </a:r>
          <a:endParaRPr lang="en-US" sz="2900" dirty="0">
            <a:latin typeface="+mj-lt"/>
          </a:endParaRPr>
        </a:p>
      </dgm:t>
    </dgm:pt>
    <dgm:pt modelId="{311C231D-B551-1B4F-B2B6-F49AF06C30A8}" type="parTrans" cxnId="{D0B1D225-52B8-434A-845C-AEE4C0344EBD}">
      <dgm:prSet/>
      <dgm:spPr/>
      <dgm:t>
        <a:bodyPr/>
        <a:lstStyle/>
        <a:p>
          <a:endParaRPr lang="en-US"/>
        </a:p>
      </dgm:t>
    </dgm:pt>
    <dgm:pt modelId="{0DD1FBF7-29C0-9448-966D-D6FF6B20CD89}" type="sibTrans" cxnId="{D0B1D225-52B8-434A-845C-AEE4C0344EBD}">
      <dgm:prSet/>
      <dgm:spPr/>
      <dgm:t>
        <a:bodyPr/>
        <a:lstStyle/>
        <a:p>
          <a:endParaRPr lang="en-US"/>
        </a:p>
      </dgm:t>
    </dgm:pt>
    <dgm:pt modelId="{BB2FCAE3-C07A-8546-AA2B-1C2CFDF21D5B}" type="pres">
      <dgm:prSet presAssocID="{8295DBA3-02B9-B24E-8EBB-9BD0D1DB4EFB}" presName="Name0" presStyleCnt="0">
        <dgm:presLayoutVars>
          <dgm:dir/>
          <dgm:animLvl val="lvl"/>
          <dgm:resizeHandles val="exact"/>
        </dgm:presLayoutVars>
      </dgm:prSet>
      <dgm:spPr/>
    </dgm:pt>
    <dgm:pt modelId="{3E62362F-8C41-0746-8114-2B5D3BC41063}" type="pres">
      <dgm:prSet presAssocID="{80E6790A-859C-A94E-ADEE-3850EDD6D4CA}" presName="Name8" presStyleCnt="0"/>
      <dgm:spPr/>
    </dgm:pt>
    <dgm:pt modelId="{A5B5B303-10F6-654B-8E8D-D96E8DCBDF1A}" type="pres">
      <dgm:prSet presAssocID="{80E6790A-859C-A94E-ADEE-3850EDD6D4CA}" presName="level" presStyleLbl="node1" presStyleIdx="0" presStyleCnt="3" custScaleY="75827">
        <dgm:presLayoutVars>
          <dgm:chMax val="1"/>
          <dgm:bulletEnabled val="1"/>
        </dgm:presLayoutVars>
      </dgm:prSet>
      <dgm:spPr/>
      <dgm:t>
        <a:bodyPr/>
        <a:lstStyle/>
        <a:p>
          <a:endParaRPr lang="en-US"/>
        </a:p>
      </dgm:t>
    </dgm:pt>
    <dgm:pt modelId="{4EAC21B7-54F2-F54F-A118-BA517A54EE28}" type="pres">
      <dgm:prSet presAssocID="{80E6790A-859C-A94E-ADEE-3850EDD6D4CA}" presName="levelTx" presStyleLbl="revTx" presStyleIdx="0" presStyleCnt="0">
        <dgm:presLayoutVars>
          <dgm:chMax val="1"/>
          <dgm:bulletEnabled val="1"/>
        </dgm:presLayoutVars>
      </dgm:prSet>
      <dgm:spPr/>
      <dgm:t>
        <a:bodyPr/>
        <a:lstStyle/>
        <a:p>
          <a:endParaRPr lang="en-US"/>
        </a:p>
      </dgm:t>
    </dgm:pt>
    <dgm:pt modelId="{AE6ED682-D9F3-D346-96E6-E73C70B83FE8}" type="pres">
      <dgm:prSet presAssocID="{E7D8F9F2-827C-4B4C-BA78-A08BBC78B9AE}" presName="Name8" presStyleCnt="0"/>
      <dgm:spPr/>
    </dgm:pt>
    <dgm:pt modelId="{89B2539E-9194-8243-950D-AB2E6E0BDA37}" type="pres">
      <dgm:prSet presAssocID="{E7D8F9F2-827C-4B4C-BA78-A08BBC78B9AE}" presName="level" presStyleLbl="node1" presStyleIdx="1" presStyleCnt="3" custScaleY="55717">
        <dgm:presLayoutVars>
          <dgm:chMax val="1"/>
          <dgm:bulletEnabled val="1"/>
        </dgm:presLayoutVars>
      </dgm:prSet>
      <dgm:spPr/>
      <dgm:t>
        <a:bodyPr/>
        <a:lstStyle/>
        <a:p>
          <a:endParaRPr lang="en-US"/>
        </a:p>
      </dgm:t>
    </dgm:pt>
    <dgm:pt modelId="{4A14AB12-890C-9C47-B9AF-A658A30D8919}" type="pres">
      <dgm:prSet presAssocID="{E7D8F9F2-827C-4B4C-BA78-A08BBC78B9AE}" presName="levelTx" presStyleLbl="revTx" presStyleIdx="0" presStyleCnt="0">
        <dgm:presLayoutVars>
          <dgm:chMax val="1"/>
          <dgm:bulletEnabled val="1"/>
        </dgm:presLayoutVars>
      </dgm:prSet>
      <dgm:spPr/>
      <dgm:t>
        <a:bodyPr/>
        <a:lstStyle/>
        <a:p>
          <a:endParaRPr lang="en-US"/>
        </a:p>
      </dgm:t>
    </dgm:pt>
    <dgm:pt modelId="{801EC8DB-AB9C-D34A-9F5B-05FBC541B0B7}" type="pres">
      <dgm:prSet presAssocID="{49B2F6F1-6640-024A-BF86-400F7CC985A5}" presName="Name8" presStyleCnt="0"/>
      <dgm:spPr/>
    </dgm:pt>
    <dgm:pt modelId="{B8546BAA-0059-234F-B932-0767043955F5}" type="pres">
      <dgm:prSet presAssocID="{49B2F6F1-6640-024A-BF86-400F7CC985A5}" presName="level" presStyleLbl="node1" presStyleIdx="2" presStyleCnt="3" custScaleY="55428">
        <dgm:presLayoutVars>
          <dgm:chMax val="1"/>
          <dgm:bulletEnabled val="1"/>
        </dgm:presLayoutVars>
      </dgm:prSet>
      <dgm:spPr/>
      <dgm:t>
        <a:bodyPr/>
        <a:lstStyle/>
        <a:p>
          <a:endParaRPr lang="en-US"/>
        </a:p>
      </dgm:t>
    </dgm:pt>
    <dgm:pt modelId="{8481CE7A-211A-1341-9C59-5B0F90216B91}" type="pres">
      <dgm:prSet presAssocID="{49B2F6F1-6640-024A-BF86-400F7CC985A5}" presName="levelTx" presStyleLbl="revTx" presStyleIdx="0" presStyleCnt="0">
        <dgm:presLayoutVars>
          <dgm:chMax val="1"/>
          <dgm:bulletEnabled val="1"/>
        </dgm:presLayoutVars>
      </dgm:prSet>
      <dgm:spPr/>
      <dgm:t>
        <a:bodyPr/>
        <a:lstStyle/>
        <a:p>
          <a:endParaRPr lang="en-US"/>
        </a:p>
      </dgm:t>
    </dgm:pt>
  </dgm:ptLst>
  <dgm:cxnLst>
    <dgm:cxn modelId="{D0B1D225-52B8-434A-845C-AEE4C0344EBD}" srcId="{8295DBA3-02B9-B24E-8EBB-9BD0D1DB4EFB}" destId="{49B2F6F1-6640-024A-BF86-400F7CC985A5}" srcOrd="2" destOrd="0" parTransId="{311C231D-B551-1B4F-B2B6-F49AF06C30A8}" sibTransId="{0DD1FBF7-29C0-9448-966D-D6FF6B20CD89}"/>
    <dgm:cxn modelId="{8CAF9D8B-001E-D84D-8F73-28648FED18D9}" type="presOf" srcId="{49B2F6F1-6640-024A-BF86-400F7CC985A5}" destId="{8481CE7A-211A-1341-9C59-5B0F90216B91}" srcOrd="1" destOrd="0" presId="urn:microsoft.com/office/officeart/2005/8/layout/pyramid1"/>
    <dgm:cxn modelId="{1DA5EF9B-0F49-C342-A4D7-0C13C451E5C1}" srcId="{8295DBA3-02B9-B24E-8EBB-9BD0D1DB4EFB}" destId="{E7D8F9F2-827C-4B4C-BA78-A08BBC78B9AE}" srcOrd="1" destOrd="0" parTransId="{EC1B33A5-AB23-4E47-ACF8-AFC0DC1E9E99}" sibTransId="{4B90A54F-004F-2845-A25C-DE4F4D0D44A1}"/>
    <dgm:cxn modelId="{96352896-EFDA-EA4D-8ECD-D9866CD35539}" type="presOf" srcId="{80E6790A-859C-A94E-ADEE-3850EDD6D4CA}" destId="{4EAC21B7-54F2-F54F-A118-BA517A54EE28}" srcOrd="1" destOrd="0" presId="urn:microsoft.com/office/officeart/2005/8/layout/pyramid1"/>
    <dgm:cxn modelId="{39077973-66A3-A54C-9376-5FA0C40787CC}" srcId="{8295DBA3-02B9-B24E-8EBB-9BD0D1DB4EFB}" destId="{80E6790A-859C-A94E-ADEE-3850EDD6D4CA}" srcOrd="0" destOrd="0" parTransId="{E7BD25E7-54AA-BA48-A1EE-B609FB75601A}" sibTransId="{E2917D5C-508C-074A-B69F-DB12F90F0CBB}"/>
    <dgm:cxn modelId="{ECA15F09-E08F-8741-B4EE-595210AA51BC}" type="presOf" srcId="{80E6790A-859C-A94E-ADEE-3850EDD6D4CA}" destId="{A5B5B303-10F6-654B-8E8D-D96E8DCBDF1A}" srcOrd="0" destOrd="0" presId="urn:microsoft.com/office/officeart/2005/8/layout/pyramid1"/>
    <dgm:cxn modelId="{B3FBCFD6-3069-1A40-82AA-12191A7A8771}" type="presOf" srcId="{E7D8F9F2-827C-4B4C-BA78-A08BBC78B9AE}" destId="{4A14AB12-890C-9C47-B9AF-A658A30D8919}" srcOrd="1" destOrd="0" presId="urn:microsoft.com/office/officeart/2005/8/layout/pyramid1"/>
    <dgm:cxn modelId="{5C4475AC-3A7F-0F4A-88FC-5B4380572E02}" type="presOf" srcId="{E7D8F9F2-827C-4B4C-BA78-A08BBC78B9AE}" destId="{89B2539E-9194-8243-950D-AB2E6E0BDA37}" srcOrd="0" destOrd="0" presId="urn:microsoft.com/office/officeart/2005/8/layout/pyramid1"/>
    <dgm:cxn modelId="{B9F73995-3F06-F441-B9BD-1188CBD7F642}" type="presOf" srcId="{8295DBA3-02B9-B24E-8EBB-9BD0D1DB4EFB}" destId="{BB2FCAE3-C07A-8546-AA2B-1C2CFDF21D5B}" srcOrd="0" destOrd="0" presId="urn:microsoft.com/office/officeart/2005/8/layout/pyramid1"/>
    <dgm:cxn modelId="{FD49D0F2-58AF-FA4E-9295-7F7AF2DD08B2}" type="presOf" srcId="{49B2F6F1-6640-024A-BF86-400F7CC985A5}" destId="{B8546BAA-0059-234F-B932-0767043955F5}" srcOrd="0" destOrd="0" presId="urn:microsoft.com/office/officeart/2005/8/layout/pyramid1"/>
    <dgm:cxn modelId="{9EEB7E68-D3BC-CB42-9B75-F4D5957E969F}" type="presParOf" srcId="{BB2FCAE3-C07A-8546-AA2B-1C2CFDF21D5B}" destId="{3E62362F-8C41-0746-8114-2B5D3BC41063}" srcOrd="0" destOrd="0" presId="urn:microsoft.com/office/officeart/2005/8/layout/pyramid1"/>
    <dgm:cxn modelId="{BF0C4465-C8C8-4C4D-BA82-97D676336931}" type="presParOf" srcId="{3E62362F-8C41-0746-8114-2B5D3BC41063}" destId="{A5B5B303-10F6-654B-8E8D-D96E8DCBDF1A}" srcOrd="0" destOrd="0" presId="urn:microsoft.com/office/officeart/2005/8/layout/pyramid1"/>
    <dgm:cxn modelId="{2034AE2E-39BE-BE45-B0AD-2609E9981B44}" type="presParOf" srcId="{3E62362F-8C41-0746-8114-2B5D3BC41063}" destId="{4EAC21B7-54F2-F54F-A118-BA517A54EE28}" srcOrd="1" destOrd="0" presId="urn:microsoft.com/office/officeart/2005/8/layout/pyramid1"/>
    <dgm:cxn modelId="{E3A41390-CBA6-9D40-B413-E3A2111C1532}" type="presParOf" srcId="{BB2FCAE3-C07A-8546-AA2B-1C2CFDF21D5B}" destId="{AE6ED682-D9F3-D346-96E6-E73C70B83FE8}" srcOrd="1" destOrd="0" presId="urn:microsoft.com/office/officeart/2005/8/layout/pyramid1"/>
    <dgm:cxn modelId="{471A1A5C-FC6B-3649-8BA5-06AC2E3E8F62}" type="presParOf" srcId="{AE6ED682-D9F3-D346-96E6-E73C70B83FE8}" destId="{89B2539E-9194-8243-950D-AB2E6E0BDA37}" srcOrd="0" destOrd="0" presId="urn:microsoft.com/office/officeart/2005/8/layout/pyramid1"/>
    <dgm:cxn modelId="{372691B9-0355-D241-9E9F-20E345106702}" type="presParOf" srcId="{AE6ED682-D9F3-D346-96E6-E73C70B83FE8}" destId="{4A14AB12-890C-9C47-B9AF-A658A30D8919}" srcOrd="1" destOrd="0" presId="urn:microsoft.com/office/officeart/2005/8/layout/pyramid1"/>
    <dgm:cxn modelId="{DE0872FD-3309-654B-99C9-DE50A73B22E6}" type="presParOf" srcId="{BB2FCAE3-C07A-8546-AA2B-1C2CFDF21D5B}" destId="{801EC8DB-AB9C-D34A-9F5B-05FBC541B0B7}" srcOrd="2" destOrd="0" presId="urn:microsoft.com/office/officeart/2005/8/layout/pyramid1"/>
    <dgm:cxn modelId="{66F0F2F6-11D2-2A44-A18D-43F33ECB2B36}" type="presParOf" srcId="{801EC8DB-AB9C-D34A-9F5B-05FBC541B0B7}" destId="{B8546BAA-0059-234F-B932-0767043955F5}" srcOrd="0" destOrd="0" presId="urn:microsoft.com/office/officeart/2005/8/layout/pyramid1"/>
    <dgm:cxn modelId="{EB1886EC-7799-8143-B0C9-3E944B813110}" type="presParOf" srcId="{801EC8DB-AB9C-D34A-9F5B-05FBC541B0B7}" destId="{8481CE7A-211A-1341-9C59-5B0F90216B91}" srcOrd="1" destOrd="0" presId="urn:microsoft.com/office/officeart/2005/8/layout/pyramid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9CC38C-27AA-A74F-BE0D-9ECC5AAF441D}">
      <dsp:nvSpPr>
        <dsp:cNvPr id="0" name=""/>
        <dsp:cNvSpPr/>
      </dsp:nvSpPr>
      <dsp:spPr>
        <a:xfrm>
          <a:off x="2194558" y="0"/>
          <a:ext cx="1097282" cy="891203"/>
        </a:xfrm>
        <a:prstGeom prst="trapezoid">
          <a:avLst>
            <a:gd name="adj" fmla="val 61562"/>
          </a:avLst>
        </a:prstGeom>
        <a:gradFill rotWithShape="0">
          <a:gsLst>
            <a:gs pos="0">
              <a:schemeClr val="accent2">
                <a:hueOff val="0"/>
                <a:satOff val="0"/>
                <a:lumOff val="0"/>
                <a:alphaOff val="0"/>
                <a:tint val="100000"/>
                <a:shade val="100000"/>
                <a:satMod val="130000"/>
              </a:schemeClr>
            </a:gs>
            <a:gs pos="100000">
              <a:schemeClr val="accent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b="1" kern="1200" dirty="0"/>
            <a:t>Incitement to genocide</a:t>
          </a:r>
        </a:p>
      </dsp:txBody>
      <dsp:txXfrm>
        <a:off x="2194558" y="0"/>
        <a:ext cx="1097282" cy="891203"/>
      </dsp:txXfrm>
    </dsp:sp>
    <dsp:sp modelId="{242193F0-688B-3B43-933D-257D1A927EB3}">
      <dsp:nvSpPr>
        <dsp:cNvPr id="0" name=""/>
        <dsp:cNvSpPr/>
      </dsp:nvSpPr>
      <dsp:spPr>
        <a:xfrm>
          <a:off x="1645917" y="891203"/>
          <a:ext cx="2194564" cy="891203"/>
        </a:xfrm>
        <a:prstGeom prst="trapezoid">
          <a:avLst>
            <a:gd name="adj" fmla="val 61562"/>
          </a:avLst>
        </a:prstGeom>
        <a:solidFill>
          <a:schemeClr val="accent2">
            <a:lumMod val="60000"/>
            <a:lumOff val="40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US" sz="1600" b="1" kern="1200" dirty="0" smtClean="0"/>
            <a:t>Incitement </a:t>
          </a:r>
          <a:r>
            <a:rPr lang="en-US" sz="1600" b="1" kern="1200" dirty="0"/>
            <a:t>to </a:t>
          </a:r>
          <a:r>
            <a:rPr lang="en-US" sz="1600" b="1" kern="1200" dirty="0" smtClean="0"/>
            <a:t>violence and to terrorism</a:t>
          </a:r>
          <a:endParaRPr lang="en-US" sz="1600" b="1" kern="1200" dirty="0"/>
        </a:p>
      </dsp:txBody>
      <dsp:txXfrm>
        <a:off x="2029966" y="891203"/>
        <a:ext cx="1426466" cy="891203"/>
      </dsp:txXfrm>
    </dsp:sp>
    <dsp:sp modelId="{BF484B50-0496-804E-8AC2-FDEE704759F7}">
      <dsp:nvSpPr>
        <dsp:cNvPr id="0" name=""/>
        <dsp:cNvSpPr/>
      </dsp:nvSpPr>
      <dsp:spPr>
        <a:xfrm>
          <a:off x="1097282" y="1782407"/>
          <a:ext cx="3291835" cy="891194"/>
        </a:xfrm>
        <a:prstGeom prst="trapezoid">
          <a:avLst>
            <a:gd name="adj" fmla="val 61562"/>
          </a:avLst>
        </a:prstGeom>
        <a:solidFill>
          <a:schemeClr val="accent2">
            <a:lumMod val="40000"/>
            <a:lumOff val="60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b="1" kern="1200" dirty="0" smtClean="0"/>
            <a:t>Incitement to discrimination</a:t>
          </a:r>
          <a:endParaRPr lang="en-US" sz="1500" b="1" kern="1200" dirty="0"/>
        </a:p>
      </dsp:txBody>
      <dsp:txXfrm>
        <a:off x="1673353" y="1782407"/>
        <a:ext cx="2139693" cy="891194"/>
      </dsp:txXfrm>
    </dsp:sp>
    <dsp:sp modelId="{4B3D197D-B234-8E46-93B3-D19BADDE5121}">
      <dsp:nvSpPr>
        <dsp:cNvPr id="0" name=""/>
        <dsp:cNvSpPr/>
      </dsp:nvSpPr>
      <dsp:spPr>
        <a:xfrm>
          <a:off x="548641" y="2673601"/>
          <a:ext cx="4389117" cy="891203"/>
        </a:xfrm>
        <a:prstGeom prst="trapezoid">
          <a:avLst>
            <a:gd name="adj" fmla="val 61562"/>
          </a:avLst>
        </a:prstGeom>
        <a:gradFill rotWithShape="0">
          <a:gsLst>
            <a:gs pos="0">
              <a:schemeClr val="accent2">
                <a:hueOff val="3511140"/>
                <a:satOff val="-4379"/>
                <a:lumOff val="1030"/>
                <a:alphaOff val="0"/>
                <a:tint val="100000"/>
                <a:shade val="100000"/>
                <a:satMod val="130000"/>
              </a:schemeClr>
            </a:gs>
            <a:gs pos="100000">
              <a:schemeClr val="accent2">
                <a:hueOff val="3511140"/>
                <a:satOff val="-4379"/>
                <a:lumOff val="103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b="1" kern="1200" dirty="0" smtClean="0"/>
            <a:t>Glorify, Promote, Justify  </a:t>
          </a:r>
        </a:p>
        <a:p>
          <a:pPr lvl="0" algn="ctr" defTabSz="666750">
            <a:lnSpc>
              <a:spcPct val="90000"/>
            </a:lnSpc>
            <a:spcBef>
              <a:spcPct val="0"/>
            </a:spcBef>
            <a:spcAft>
              <a:spcPct val="35000"/>
            </a:spcAft>
          </a:pPr>
          <a:r>
            <a:rPr lang="en-US" sz="1500" b="1" kern="1200" dirty="0" smtClean="0"/>
            <a:t>(racial superiority, racism, terrorism) and Vilify  </a:t>
          </a:r>
          <a:endParaRPr lang="en-US" sz="1500" b="1" kern="1200" dirty="0"/>
        </a:p>
      </dsp:txBody>
      <dsp:txXfrm>
        <a:off x="1316736" y="2673601"/>
        <a:ext cx="2852926" cy="891203"/>
      </dsp:txXfrm>
    </dsp:sp>
    <dsp:sp modelId="{0E6EF710-6991-D249-B5D2-C636C1596029}">
      <dsp:nvSpPr>
        <dsp:cNvPr id="0" name=""/>
        <dsp:cNvSpPr/>
      </dsp:nvSpPr>
      <dsp:spPr>
        <a:xfrm>
          <a:off x="0" y="3564805"/>
          <a:ext cx="5486400" cy="891203"/>
        </a:xfrm>
        <a:prstGeom prst="trapezoid">
          <a:avLst>
            <a:gd name="adj" fmla="val 61562"/>
          </a:avLst>
        </a:prstGeom>
        <a:solidFill>
          <a:schemeClr val="accent5">
            <a:lumMod val="60000"/>
            <a:lumOff val="40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b="1" kern="1200" dirty="0" smtClean="0"/>
            <a:t>Other Hate </a:t>
          </a:r>
          <a:r>
            <a:rPr lang="en-US" sz="1500" b="1" kern="1200" dirty="0"/>
            <a:t>Speech Acts </a:t>
          </a:r>
          <a:r>
            <a:rPr lang="en-US" sz="1500" b="1" kern="1200" dirty="0" smtClean="0"/>
            <a:t>that disseminate, propagate or spread hostility and hatred, negative stereotypes, etc.  </a:t>
          </a:r>
        </a:p>
      </dsp:txBody>
      <dsp:txXfrm>
        <a:off x="960119" y="3564805"/>
        <a:ext cx="3566160" cy="89120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B5B303-10F6-654B-8E8D-D96E8DCBDF1A}">
      <dsp:nvSpPr>
        <dsp:cNvPr id="0" name=""/>
        <dsp:cNvSpPr/>
      </dsp:nvSpPr>
      <dsp:spPr>
        <a:xfrm>
          <a:off x="1717133" y="0"/>
          <a:ext cx="2342976" cy="1348931"/>
        </a:xfrm>
        <a:prstGeom prst="trapezoid">
          <a:avLst>
            <a:gd name="adj" fmla="val 86846"/>
          </a:avLst>
        </a:prstGeom>
        <a:gradFill rotWithShape="0">
          <a:gsLst>
            <a:gs pos="0">
              <a:schemeClr val="accent2">
                <a:hueOff val="0"/>
                <a:satOff val="0"/>
                <a:lumOff val="0"/>
                <a:alphaOff val="0"/>
                <a:tint val="100000"/>
                <a:shade val="100000"/>
                <a:satMod val="130000"/>
              </a:schemeClr>
            </a:gs>
            <a:gs pos="100000">
              <a:schemeClr val="accent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b="1" kern="1200" dirty="0" smtClean="0">
              <a:latin typeface="+mj-lt"/>
            </a:rPr>
            <a:t>Incitement Speech </a:t>
          </a:r>
          <a:r>
            <a:rPr lang="en-US" sz="1400" kern="1200" dirty="0" smtClean="0">
              <a:latin typeface="+mj-lt"/>
            </a:rPr>
            <a:t>(Must be prohibited as per The Genocide Convention, Article 20 of the ICCPR and Article 4 </a:t>
          </a:r>
          <a:r>
            <a:rPr lang="en-US" sz="1600" kern="1200" dirty="0" smtClean="0">
              <a:latin typeface="+mj-lt"/>
            </a:rPr>
            <a:t>of ICERD)</a:t>
          </a:r>
          <a:endParaRPr lang="en-US" sz="1600" kern="1200" dirty="0">
            <a:latin typeface="+mj-lt"/>
          </a:endParaRPr>
        </a:p>
      </dsp:txBody>
      <dsp:txXfrm>
        <a:off x="1717133" y="0"/>
        <a:ext cx="2342976" cy="1348931"/>
      </dsp:txXfrm>
    </dsp:sp>
    <dsp:sp modelId="{89B2539E-9194-8243-950D-AB2E6E0BDA37}">
      <dsp:nvSpPr>
        <dsp:cNvPr id="0" name=""/>
        <dsp:cNvSpPr/>
      </dsp:nvSpPr>
      <dsp:spPr>
        <a:xfrm>
          <a:off x="856334" y="1348931"/>
          <a:ext cx="4064574" cy="991182"/>
        </a:xfrm>
        <a:prstGeom prst="trapezoid">
          <a:avLst>
            <a:gd name="adj" fmla="val 86846"/>
          </a:avLst>
        </a:prstGeom>
        <a:gradFill rotWithShape="0">
          <a:gsLst>
            <a:gs pos="0">
              <a:schemeClr val="accent3">
                <a:hueOff val="0"/>
                <a:satOff val="0"/>
                <a:lumOff val="0"/>
                <a:alphaOff val="0"/>
                <a:tint val="100000"/>
                <a:shade val="100000"/>
                <a:satMod val="130000"/>
              </a:schemeClr>
            </a:gs>
            <a:gs pos="100000">
              <a:schemeClr val="accent3">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9210" tIns="29210" rIns="29210" bIns="29210" numCol="1" spcCol="1270" anchor="ctr" anchorCtr="0">
          <a:noAutofit/>
        </a:bodyPr>
        <a:lstStyle/>
        <a:p>
          <a:pPr lvl="0" algn="ctr" defTabSz="1022350">
            <a:lnSpc>
              <a:spcPct val="90000"/>
            </a:lnSpc>
            <a:spcBef>
              <a:spcPct val="0"/>
            </a:spcBef>
            <a:spcAft>
              <a:spcPct val="35000"/>
            </a:spcAft>
          </a:pPr>
          <a:r>
            <a:rPr lang="en-US" sz="2300" b="1" kern="1200" dirty="0" smtClean="0">
              <a:latin typeface="+mj-lt"/>
            </a:rPr>
            <a:t>Hate Speech </a:t>
          </a:r>
          <a:r>
            <a:rPr lang="en-US" sz="1400" kern="1200" dirty="0" smtClean="0">
              <a:latin typeface="+mj-lt"/>
            </a:rPr>
            <a:t>(May be restricted under Article 19 of the ICCPR, Must be restricted under Article 4 of </a:t>
          </a:r>
          <a:r>
            <a:rPr lang="en-US" sz="1600" kern="1200" dirty="0" smtClean="0">
              <a:latin typeface="+mj-lt"/>
            </a:rPr>
            <a:t>ICERD)</a:t>
          </a:r>
          <a:endParaRPr lang="en-US" sz="1600" kern="1200" dirty="0">
            <a:latin typeface="+mj-lt"/>
          </a:endParaRPr>
        </a:p>
      </dsp:txBody>
      <dsp:txXfrm>
        <a:off x="1567634" y="1348931"/>
        <a:ext cx="2641973" cy="991182"/>
      </dsp:txXfrm>
    </dsp:sp>
    <dsp:sp modelId="{B8546BAA-0059-234F-B932-0767043955F5}">
      <dsp:nvSpPr>
        <dsp:cNvPr id="0" name=""/>
        <dsp:cNvSpPr/>
      </dsp:nvSpPr>
      <dsp:spPr>
        <a:xfrm>
          <a:off x="0" y="2340113"/>
          <a:ext cx="5777242" cy="986041"/>
        </a:xfrm>
        <a:prstGeom prst="trapezoid">
          <a:avLst>
            <a:gd name="adj" fmla="val 86846"/>
          </a:avLst>
        </a:prstGeom>
        <a:gradFill rotWithShape="0">
          <a:gsLst>
            <a:gs pos="0">
              <a:schemeClr val="accent4">
                <a:hueOff val="0"/>
                <a:satOff val="0"/>
                <a:lumOff val="0"/>
                <a:alphaOff val="0"/>
                <a:tint val="100000"/>
                <a:shade val="100000"/>
                <a:satMod val="130000"/>
              </a:schemeClr>
            </a:gs>
            <a:gs pos="100000">
              <a:schemeClr val="accent4">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r>
            <a:rPr lang="en-US" sz="2400" b="1" kern="1200" dirty="0" smtClean="0">
              <a:latin typeface="+mj-lt"/>
            </a:rPr>
            <a:t>Offensive Speech </a:t>
          </a:r>
          <a:r>
            <a:rPr lang="en-US" sz="1400" kern="1200" dirty="0" smtClean="0">
              <a:latin typeface="+mj-lt"/>
            </a:rPr>
            <a:t>(Protected under article 19 of the ICCPR; Notable exceptions around the world)</a:t>
          </a:r>
          <a:r>
            <a:rPr lang="en-US" sz="2900" kern="1200" dirty="0" smtClean="0">
              <a:latin typeface="+mj-lt"/>
            </a:rPr>
            <a:t>. </a:t>
          </a:r>
          <a:endParaRPr lang="en-US" sz="2900" kern="1200" dirty="0">
            <a:latin typeface="+mj-lt"/>
          </a:endParaRPr>
        </a:p>
      </dsp:txBody>
      <dsp:txXfrm>
        <a:off x="1011017" y="2340113"/>
        <a:ext cx="3755207" cy="986041"/>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6F802-F19D-374C-B8F6-75E8A4FDE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6099</Words>
  <Characters>34769</Characters>
  <Application>Microsoft Macintosh Word</Application>
  <DocSecurity>0</DocSecurity>
  <Lines>289</Lines>
  <Paragraphs>81</Paragraphs>
  <ScaleCrop>false</ScaleCrop>
  <Company/>
  <LinksUpToDate>false</LinksUpToDate>
  <CharactersWithSpaces>40787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CALLAMARD</dc:creator>
  <cp:keywords/>
  <dc:description/>
  <cp:lastModifiedBy>Agnes Callamard gmail</cp:lastModifiedBy>
  <cp:revision>2</cp:revision>
  <dcterms:created xsi:type="dcterms:W3CDTF">2016-01-14T16:12:00Z</dcterms:created>
  <dcterms:modified xsi:type="dcterms:W3CDTF">2016-01-14T16:12:00Z</dcterms:modified>
</cp:coreProperties>
</file>