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4A" w:rsidRDefault="006A5A4A" w:rsidP="005225A5">
      <w:pPr>
        <w:jc w:val="center"/>
        <w:rPr>
          <w:rFonts w:ascii="Times New Roman" w:hAnsi="Times New Roman"/>
          <w:sz w:val="32"/>
          <w:szCs w:val="32"/>
          <w:lang w:val="sr-Latn-CS"/>
        </w:rPr>
      </w:pPr>
      <w:r w:rsidRPr="002B2479">
        <w:rPr>
          <w:rFonts w:ascii="Times New Roman" w:hAnsi="Times New Roman"/>
          <w:sz w:val="32"/>
          <w:szCs w:val="32"/>
          <w:lang w:val="pt-BR"/>
        </w:rPr>
        <w:t>MEDIJSKO PRAVO</w:t>
      </w:r>
      <w:r w:rsidRPr="005225A5">
        <w:rPr>
          <w:rFonts w:ascii="Times New Roman" w:hAnsi="Times New Roman"/>
          <w:sz w:val="32"/>
          <w:szCs w:val="32"/>
          <w:lang w:val="sr-Latn-CS"/>
        </w:rPr>
        <w:t xml:space="preserve"> </w:t>
      </w:r>
    </w:p>
    <w:p w:rsidR="006A5A4A" w:rsidRDefault="006A5A4A" w:rsidP="005225A5">
      <w:pPr>
        <w:jc w:val="center"/>
        <w:rPr>
          <w:rFonts w:ascii="Times New Roman" w:hAnsi="Times New Roman"/>
          <w:sz w:val="32"/>
          <w:szCs w:val="32"/>
          <w:lang w:val="sr-Latn-CS"/>
        </w:rPr>
      </w:pPr>
    </w:p>
    <w:p w:rsidR="006A5A4A" w:rsidRDefault="006A5A4A" w:rsidP="005710D8">
      <w:pPr>
        <w:jc w:val="center"/>
        <w:rPr>
          <w:rFonts w:ascii="Times New Roman" w:hAnsi="Times New Roman"/>
          <w:sz w:val="32"/>
          <w:szCs w:val="32"/>
          <w:lang w:val="sr-Latn-CS"/>
        </w:rPr>
      </w:pPr>
      <w:r>
        <w:rPr>
          <w:rFonts w:ascii="Times New Roman" w:hAnsi="Times New Roman"/>
          <w:sz w:val="32"/>
          <w:szCs w:val="32"/>
          <w:lang w:val="sr-Latn-CS"/>
        </w:rPr>
        <w:t>ODLUKA USTAVNOG SUDA O IZMENAMA I DOPUNAMA ZAKONA O JAVNOM INFORMISANJU.</w:t>
      </w:r>
    </w:p>
    <w:p w:rsidR="006A5A4A" w:rsidRDefault="006A5A4A" w:rsidP="0019003C">
      <w:pPr>
        <w:jc w:val="both"/>
        <w:rPr>
          <w:rFonts w:ascii="Times New Roman" w:hAnsi="Times New Roman"/>
          <w:b/>
          <w:sz w:val="24"/>
          <w:szCs w:val="24"/>
          <w:lang w:val="sr-Latn-CS"/>
        </w:rPr>
      </w:pPr>
      <w:r>
        <w:rPr>
          <w:rFonts w:ascii="Times New Roman" w:hAnsi="Times New Roman"/>
          <w:b/>
          <w:sz w:val="24"/>
          <w:szCs w:val="24"/>
          <w:lang w:val="sr-Latn-CS"/>
        </w:rPr>
        <w:t>Od kad je Skupš</w:t>
      </w:r>
      <w:r w:rsidRPr="00CB54C7">
        <w:rPr>
          <w:rFonts w:ascii="Times New Roman" w:hAnsi="Times New Roman"/>
          <w:b/>
          <w:sz w:val="24"/>
          <w:szCs w:val="24"/>
          <w:lang w:val="sr-Latn-CS"/>
        </w:rPr>
        <w:t xml:space="preserve">tina Srbije </w:t>
      </w:r>
      <w:r>
        <w:rPr>
          <w:rFonts w:ascii="Times New Roman" w:hAnsi="Times New Roman"/>
          <w:b/>
          <w:sz w:val="24"/>
          <w:szCs w:val="24"/>
          <w:lang w:val="sr-Latn-CS"/>
        </w:rPr>
        <w:t xml:space="preserve">1. Septembra </w:t>
      </w:r>
      <w:r w:rsidRPr="00CB54C7">
        <w:rPr>
          <w:rFonts w:ascii="Times New Roman" w:hAnsi="Times New Roman"/>
          <w:b/>
          <w:sz w:val="24"/>
          <w:szCs w:val="24"/>
          <w:lang w:val="sr-Latn-CS"/>
        </w:rPr>
        <w:t>2009</w:t>
      </w:r>
      <w:r>
        <w:rPr>
          <w:rFonts w:ascii="Times New Roman" w:hAnsi="Times New Roman"/>
          <w:b/>
          <w:sz w:val="24"/>
          <w:szCs w:val="24"/>
          <w:lang w:val="sr-Latn-CS"/>
        </w:rPr>
        <w:t>.</w:t>
      </w:r>
      <w:r w:rsidRPr="00CB54C7">
        <w:rPr>
          <w:rFonts w:ascii="Times New Roman" w:hAnsi="Times New Roman"/>
          <w:b/>
          <w:sz w:val="24"/>
          <w:szCs w:val="24"/>
          <w:lang w:val="sr-Latn-CS"/>
        </w:rPr>
        <w:t xml:space="preserve"> g</w:t>
      </w:r>
      <w:r>
        <w:rPr>
          <w:rFonts w:ascii="Times New Roman" w:hAnsi="Times New Roman"/>
          <w:b/>
          <w:sz w:val="24"/>
          <w:szCs w:val="24"/>
          <w:lang w:val="sr-Latn-CS"/>
        </w:rPr>
        <w:t>odine usvojila izmene i dopune Z</w:t>
      </w:r>
      <w:r w:rsidRPr="00CB54C7">
        <w:rPr>
          <w:rFonts w:ascii="Times New Roman" w:hAnsi="Times New Roman"/>
          <w:b/>
          <w:sz w:val="24"/>
          <w:szCs w:val="24"/>
          <w:lang w:val="sr-Latn-CS"/>
        </w:rPr>
        <w:t>akona o javnom informisanju oštre kritik</w:t>
      </w:r>
      <w:r>
        <w:rPr>
          <w:rFonts w:ascii="Times New Roman" w:hAnsi="Times New Roman"/>
          <w:b/>
          <w:sz w:val="24"/>
          <w:szCs w:val="24"/>
          <w:lang w:val="sr-Latn-CS"/>
        </w:rPr>
        <w:t>e su izrečene na račun ovog zakona</w:t>
      </w:r>
      <w:r w:rsidRPr="00CB54C7">
        <w:rPr>
          <w:rFonts w:ascii="Times New Roman" w:hAnsi="Times New Roman"/>
          <w:b/>
          <w:sz w:val="24"/>
          <w:szCs w:val="24"/>
          <w:lang w:val="sr-Latn-CS"/>
        </w:rPr>
        <w:t xml:space="preserve"> što od strane medija, medisjkih udruženja, ombudsmana i čitave javnosti da bi na kraju u 2010</w:t>
      </w:r>
      <w:r>
        <w:rPr>
          <w:rFonts w:ascii="Times New Roman" w:hAnsi="Times New Roman"/>
          <w:b/>
          <w:sz w:val="24"/>
          <w:szCs w:val="24"/>
          <w:lang w:val="sr-Latn-CS"/>
        </w:rPr>
        <w:t>.</w:t>
      </w:r>
      <w:r w:rsidRPr="00CB54C7">
        <w:rPr>
          <w:rFonts w:ascii="Times New Roman" w:hAnsi="Times New Roman"/>
          <w:b/>
          <w:sz w:val="24"/>
          <w:szCs w:val="24"/>
          <w:lang w:val="sr-Latn-CS"/>
        </w:rPr>
        <w:t xml:space="preserve"> godini ovo pitanje bilo pokrenuto i pred Ustavnim sudom. </w:t>
      </w:r>
      <w:r w:rsidRPr="0019003C">
        <w:rPr>
          <w:rFonts w:ascii="Times New Roman" w:hAnsi="Times New Roman"/>
          <w:b/>
          <w:sz w:val="24"/>
          <w:szCs w:val="24"/>
          <w:lang w:val="sr-Latn-CS"/>
        </w:rPr>
        <w:t>Na 31. redovnoj sednici Ustavnog suda</w:t>
      </w:r>
      <w:r>
        <w:rPr>
          <w:rFonts w:ascii="Times New Roman" w:hAnsi="Times New Roman"/>
          <w:b/>
          <w:sz w:val="24"/>
          <w:szCs w:val="24"/>
          <w:lang w:val="sr-Latn-CS"/>
        </w:rPr>
        <w:t xml:space="preserve"> koja je održana 22. Jula 2010. g</w:t>
      </w:r>
      <w:r w:rsidRPr="0019003C">
        <w:rPr>
          <w:rFonts w:ascii="Times New Roman" w:hAnsi="Times New Roman"/>
          <w:b/>
          <w:sz w:val="24"/>
          <w:szCs w:val="24"/>
          <w:lang w:val="sr-Latn-CS"/>
        </w:rPr>
        <w:t>odine, Ustavni sud je utvrdio da nisu u saglasntosti sa Ustavom i potvrđenim međunarodnim ugovorima sledeće odredbe Zakona o izmenama i dopunama Zakona o javnom i</w:t>
      </w:r>
      <w:r>
        <w:rPr>
          <w:rFonts w:ascii="Times New Roman" w:hAnsi="Times New Roman"/>
          <w:b/>
          <w:sz w:val="24"/>
          <w:szCs w:val="24"/>
          <w:lang w:val="sr-Latn-CS"/>
        </w:rPr>
        <w:t>nformisanju („Službeni glasnik R</w:t>
      </w:r>
      <w:r w:rsidRPr="0019003C">
        <w:rPr>
          <w:rFonts w:ascii="Times New Roman" w:hAnsi="Times New Roman"/>
          <w:b/>
          <w:sz w:val="24"/>
          <w:szCs w:val="24"/>
          <w:lang w:val="sr-Latn-CS"/>
        </w:rPr>
        <w:t>S“ broj 71/09) : odredba člana 1 stav 1 kojim je u članu 14 Zakona dodat novi stav 1 i to u delu koji se odnosi na osinvača ja</w:t>
      </w:r>
      <w:r>
        <w:rPr>
          <w:rFonts w:ascii="Times New Roman" w:hAnsi="Times New Roman"/>
          <w:b/>
          <w:sz w:val="24"/>
          <w:szCs w:val="24"/>
          <w:lang w:val="sr-Latn-CS"/>
        </w:rPr>
        <w:t>v</w:t>
      </w:r>
      <w:r w:rsidRPr="0019003C">
        <w:rPr>
          <w:rFonts w:ascii="Times New Roman" w:hAnsi="Times New Roman"/>
          <w:b/>
          <w:sz w:val="24"/>
          <w:szCs w:val="24"/>
          <w:lang w:val="sr-Latn-CS"/>
        </w:rPr>
        <w:t>nog glasila; o</w:t>
      </w:r>
      <w:r>
        <w:rPr>
          <w:rFonts w:ascii="Times New Roman" w:hAnsi="Times New Roman"/>
          <w:b/>
          <w:sz w:val="24"/>
          <w:szCs w:val="24"/>
          <w:lang w:val="sr-Latn-CS"/>
        </w:rPr>
        <w:t xml:space="preserve">dredbe člana 2 kojima je posle </w:t>
      </w:r>
      <w:r w:rsidRPr="0019003C">
        <w:rPr>
          <w:rFonts w:ascii="Times New Roman" w:hAnsi="Times New Roman"/>
          <w:b/>
          <w:sz w:val="24"/>
          <w:szCs w:val="24"/>
          <w:lang w:val="sr-Latn-CS"/>
        </w:rPr>
        <w:t>člana 14 Zakona dodat novi član 14a i to stav 5, 6 i 7 ovog člana; i odredbe člana 4, 5 i 6</w:t>
      </w:r>
      <w:r w:rsidRPr="0019003C">
        <w:rPr>
          <w:rStyle w:val="FootnoteReference"/>
          <w:rFonts w:ascii="Times New Roman" w:hAnsi="Times New Roman"/>
          <w:b/>
          <w:sz w:val="24"/>
          <w:szCs w:val="24"/>
          <w:lang w:val="sr-Latn-CS"/>
        </w:rPr>
        <w:footnoteReference w:id="1"/>
      </w:r>
      <w:r w:rsidRPr="0019003C">
        <w:rPr>
          <w:rFonts w:ascii="Times New Roman" w:hAnsi="Times New Roman"/>
          <w:b/>
          <w:sz w:val="24"/>
          <w:szCs w:val="24"/>
          <w:lang w:val="sr-Latn-CS"/>
        </w:rPr>
        <w:t xml:space="preserve">. </w:t>
      </w:r>
    </w:p>
    <w:p w:rsidR="006A5A4A" w:rsidRPr="005710D8" w:rsidRDefault="006A5A4A" w:rsidP="005710D8">
      <w:pPr>
        <w:jc w:val="center"/>
        <w:rPr>
          <w:rFonts w:ascii="Times New Roman" w:hAnsi="Times New Roman"/>
          <w:b/>
          <w:sz w:val="32"/>
          <w:szCs w:val="32"/>
          <w:lang w:val="sr-Latn-CS"/>
        </w:rPr>
      </w:pPr>
      <w:r w:rsidRPr="0019003C">
        <w:rPr>
          <w:rFonts w:ascii="Times New Roman" w:hAnsi="Times New Roman"/>
          <w:b/>
          <w:sz w:val="32"/>
          <w:szCs w:val="32"/>
          <w:lang w:val="sr-Latn-CS"/>
        </w:rPr>
        <w:t>PRIKAZ</w:t>
      </w:r>
    </w:p>
    <w:p w:rsidR="006A5A4A" w:rsidRPr="002B2479" w:rsidRDefault="006A5A4A" w:rsidP="003A6DBF">
      <w:pPr>
        <w:ind w:firstLine="720"/>
        <w:jc w:val="both"/>
        <w:rPr>
          <w:rFonts w:ascii="Times New Roman" w:hAnsi="Times New Roman"/>
          <w:i/>
          <w:sz w:val="24"/>
          <w:szCs w:val="24"/>
          <w:lang w:val="sr-Latn-CS"/>
        </w:rPr>
      </w:pPr>
      <w:r w:rsidRPr="00CB54C7">
        <w:rPr>
          <w:rFonts w:ascii="Times New Roman" w:hAnsi="Times New Roman"/>
          <w:sz w:val="24"/>
          <w:szCs w:val="24"/>
          <w:lang w:val="sr-Latn-CS"/>
        </w:rPr>
        <w:t xml:space="preserve">Zakon o javnom informisanju i </w:t>
      </w:r>
      <w:r>
        <w:rPr>
          <w:rFonts w:ascii="Times New Roman" w:hAnsi="Times New Roman"/>
          <w:sz w:val="24"/>
          <w:szCs w:val="24"/>
          <w:lang w:val="sr-Latn-CS"/>
        </w:rPr>
        <w:t xml:space="preserve">svi </w:t>
      </w:r>
      <w:r w:rsidRPr="00CB54C7">
        <w:rPr>
          <w:rFonts w:ascii="Times New Roman" w:hAnsi="Times New Roman"/>
          <w:sz w:val="24"/>
          <w:szCs w:val="24"/>
          <w:lang w:val="sr-Latn-CS"/>
        </w:rPr>
        <w:t>zakoni ove vrste</w:t>
      </w:r>
      <w:r>
        <w:rPr>
          <w:rFonts w:ascii="Times New Roman" w:hAnsi="Times New Roman"/>
          <w:sz w:val="24"/>
          <w:szCs w:val="24"/>
          <w:lang w:val="sr-Latn-CS"/>
        </w:rPr>
        <w:t>, usmereni ka reguslianju okvira slobode izražavanja, pr</w:t>
      </w:r>
      <w:r w:rsidRPr="00CB54C7">
        <w:rPr>
          <w:rFonts w:ascii="Times New Roman" w:hAnsi="Times New Roman"/>
          <w:sz w:val="24"/>
          <w:szCs w:val="24"/>
          <w:lang w:val="sr-Latn-CS"/>
        </w:rPr>
        <w:t>venstveno t</w:t>
      </w:r>
      <w:r>
        <w:rPr>
          <w:rFonts w:ascii="Times New Roman" w:hAnsi="Times New Roman"/>
          <w:sz w:val="24"/>
          <w:szCs w:val="24"/>
          <w:lang w:val="sr-Latn-CS"/>
        </w:rPr>
        <w:t>r</w:t>
      </w:r>
      <w:r w:rsidRPr="00CB54C7">
        <w:rPr>
          <w:rFonts w:ascii="Times New Roman" w:hAnsi="Times New Roman"/>
          <w:sz w:val="24"/>
          <w:szCs w:val="24"/>
          <w:lang w:val="sr-Latn-CS"/>
        </w:rPr>
        <w:t xml:space="preserve">eba da služe zaštiti </w:t>
      </w:r>
      <w:r>
        <w:rPr>
          <w:rFonts w:ascii="Times New Roman" w:hAnsi="Times New Roman"/>
          <w:sz w:val="24"/>
          <w:szCs w:val="24"/>
          <w:lang w:val="sr-Latn-CS"/>
        </w:rPr>
        <w:t xml:space="preserve">samog </w:t>
      </w:r>
      <w:r w:rsidRPr="00CB54C7">
        <w:rPr>
          <w:rFonts w:ascii="Times New Roman" w:hAnsi="Times New Roman"/>
          <w:sz w:val="24"/>
          <w:szCs w:val="24"/>
          <w:lang w:val="sr-Latn-CS"/>
        </w:rPr>
        <w:t>principa slobode izražavanja u svetlu</w:t>
      </w:r>
      <w:r>
        <w:rPr>
          <w:rFonts w:ascii="Times New Roman" w:hAnsi="Times New Roman"/>
          <w:sz w:val="24"/>
          <w:szCs w:val="24"/>
          <w:lang w:val="sr-Latn-CS"/>
        </w:rPr>
        <w:t xml:space="preserve"> domaćeg i</w:t>
      </w:r>
      <w:r w:rsidRPr="00CB54C7">
        <w:rPr>
          <w:rFonts w:ascii="Times New Roman" w:hAnsi="Times New Roman"/>
          <w:sz w:val="24"/>
          <w:szCs w:val="24"/>
          <w:lang w:val="sr-Latn-CS"/>
        </w:rPr>
        <w:t xml:space="preserve"> međun</w:t>
      </w:r>
      <w:r>
        <w:rPr>
          <w:rFonts w:ascii="Times New Roman" w:hAnsi="Times New Roman"/>
          <w:sz w:val="24"/>
          <w:szCs w:val="24"/>
          <w:lang w:val="sr-Latn-CS"/>
        </w:rPr>
        <w:t>arodnog prava. Pored toga što je to pravo zagarantovano u samom članu 50 našeg Ustava (koji oslikava međunarodne principe po ovom pitanju), osvrt treba napraviti i na međunarodne instrumente kojima se štiti ovo pravo a kojima je naša zemlja pristupila i stoga imaju primat nad našim pravom</w:t>
      </w:r>
      <w:r>
        <w:rPr>
          <w:rStyle w:val="FootnoteReference"/>
          <w:rFonts w:ascii="Times New Roman" w:hAnsi="Times New Roman"/>
          <w:sz w:val="24"/>
          <w:szCs w:val="24"/>
          <w:lang w:val="sr-Latn-CS"/>
        </w:rPr>
        <w:footnoteReference w:id="2"/>
      </w:r>
      <w:r>
        <w:rPr>
          <w:rFonts w:ascii="Times New Roman" w:hAnsi="Times New Roman"/>
          <w:sz w:val="24"/>
          <w:szCs w:val="24"/>
          <w:lang w:val="sr-Latn-CS"/>
        </w:rPr>
        <w:t>. Shodno tome  naglašavamo član 10 Evropske Konvencije za zaštitu ljudskih prava i osnovnih sloboda i član 19 Međunarodnog pakta o građanskim i političkim pravima, koji predviđaju slične odredbe i  svedoče o tome da „</w:t>
      </w:r>
      <w:r w:rsidRPr="002B2479">
        <w:rPr>
          <w:rFonts w:ascii="Times New Roman" w:hAnsi="Times New Roman"/>
          <w:i/>
          <w:sz w:val="24"/>
          <w:szCs w:val="24"/>
          <w:lang w:val="sr-Latn-CS"/>
        </w:rPr>
        <w:t>svako ima pravo na slobodu izražavanja mišljenja, kao i primanja i širenja ideja i informacija bez  uplitanja javnih vlasti i bez obzira na granice”.</w:t>
      </w:r>
      <w:r w:rsidRPr="002B2479">
        <w:rPr>
          <w:rFonts w:ascii="Times New Roman" w:hAnsi="Times New Roman"/>
          <w:sz w:val="24"/>
          <w:szCs w:val="24"/>
          <w:lang w:val="sr-Latn-CS"/>
        </w:rPr>
        <w:t xml:space="preserve"> S obzirom da izmene i dopune Zakona o javnom informisanju, predstavljaju svojevrstan okvir tog prava, one moraju biti u saglasju sa gore pomenutim određenjem pojma slobode izražavanja i ako zalaze u domen ograničenja, po svojoj prirodi, treba da ispune i uslove koje predviđaju konvencije i naše pravo u pogledu mogućnosti ograničavanja ovog prava.</w:t>
      </w:r>
    </w:p>
    <w:p w:rsidR="006A5A4A" w:rsidRPr="002B2479" w:rsidRDefault="006A5A4A" w:rsidP="00D607C1">
      <w:pPr>
        <w:ind w:firstLine="720"/>
        <w:jc w:val="both"/>
        <w:rPr>
          <w:rFonts w:ascii="Times New Roman" w:hAnsi="Times New Roman"/>
          <w:sz w:val="24"/>
          <w:szCs w:val="24"/>
          <w:lang w:val="sr-Latn-CS"/>
        </w:rPr>
      </w:pPr>
      <w:r w:rsidRPr="002B2479">
        <w:rPr>
          <w:rFonts w:ascii="Times New Roman" w:hAnsi="Times New Roman"/>
          <w:sz w:val="24"/>
          <w:szCs w:val="24"/>
          <w:lang w:val="sr-Latn-CS"/>
        </w:rPr>
        <w:t xml:space="preserve">Mogućnosti organičavanja ove slobode su predviđene samo u izuzetnim situacijama i pod tačno utvrđenim uslovima. Ti uslovi su da ograničenja slobode izražavanja moraju biti </w:t>
      </w:r>
      <w:r w:rsidRPr="002B2479">
        <w:rPr>
          <w:rFonts w:ascii="Times New Roman" w:hAnsi="Times New Roman"/>
          <w:i/>
          <w:sz w:val="24"/>
          <w:szCs w:val="24"/>
          <w:lang w:val="sr-Latn-CS"/>
        </w:rPr>
        <w:t xml:space="preserve">utvrđena </w:t>
      </w:r>
      <w:r w:rsidRPr="002B2479">
        <w:rPr>
          <w:rFonts w:ascii="Times New Roman" w:hAnsi="Times New Roman"/>
          <w:i/>
          <w:sz w:val="24"/>
          <w:szCs w:val="24"/>
          <w:lang w:val="sr-Latn-CS"/>
        </w:rPr>
        <w:lastRenderedPageBreak/>
        <w:t>zakonom</w:t>
      </w:r>
      <w:r w:rsidRPr="002B2479">
        <w:rPr>
          <w:rFonts w:ascii="Times New Roman" w:hAnsi="Times New Roman"/>
          <w:sz w:val="24"/>
          <w:szCs w:val="24"/>
          <w:lang w:val="sr-Latn-CS"/>
        </w:rPr>
        <w:t xml:space="preserve">, uz </w:t>
      </w:r>
      <w:r w:rsidRPr="002B2479">
        <w:rPr>
          <w:rFonts w:ascii="Times New Roman" w:hAnsi="Times New Roman"/>
          <w:i/>
          <w:sz w:val="24"/>
          <w:szCs w:val="24"/>
          <w:lang w:val="sr-Latn-CS"/>
        </w:rPr>
        <w:t>postojanje opravdanog cilja</w:t>
      </w:r>
      <w:r w:rsidRPr="002B2479">
        <w:rPr>
          <w:rFonts w:ascii="Times New Roman" w:hAnsi="Times New Roman"/>
          <w:sz w:val="24"/>
          <w:szCs w:val="24"/>
          <w:lang w:val="sr-Latn-CS"/>
        </w:rPr>
        <w:t xml:space="preserve"> i da budu </w:t>
      </w:r>
      <w:r w:rsidRPr="002B2479">
        <w:rPr>
          <w:rFonts w:ascii="Times New Roman" w:hAnsi="Times New Roman"/>
          <w:i/>
          <w:sz w:val="24"/>
          <w:szCs w:val="24"/>
          <w:lang w:val="sr-Latn-CS"/>
        </w:rPr>
        <w:t>neophodna u demokratskom društvu</w:t>
      </w:r>
      <w:r>
        <w:rPr>
          <w:rStyle w:val="FootnoteReference"/>
          <w:rFonts w:ascii="Times New Roman" w:hAnsi="Times New Roman"/>
          <w:i/>
          <w:sz w:val="24"/>
          <w:szCs w:val="24"/>
        </w:rPr>
        <w:footnoteReference w:id="3"/>
      </w:r>
      <w:r w:rsidRPr="002B2479">
        <w:rPr>
          <w:rFonts w:ascii="Times New Roman" w:hAnsi="Times New Roman"/>
          <w:sz w:val="24"/>
          <w:szCs w:val="24"/>
          <w:lang w:val="sr-Latn-CS"/>
        </w:rPr>
        <w:t>. Svaki od ovih uslova nosi sa sobom još detaljnije definisanje šta znači i koje kriterijume mora ispuniti jedan zakon kako bi se mogao podvesti pod te izuzetke. Stoga u samim konvencijama kao opravdani ciljevi navode se uslovi kao što su: “</w:t>
      </w:r>
      <w:r w:rsidRPr="002B2479">
        <w:rPr>
          <w:rFonts w:ascii="Times New Roman" w:hAnsi="Times New Roman"/>
          <w:i/>
          <w:sz w:val="24"/>
          <w:szCs w:val="24"/>
          <w:lang w:val="sr-Latn-CS"/>
        </w:rPr>
        <w:t>nacionalna bezbednost, teritorijalni integritet ili opšta sigurnost, zaštita prava i reputacije drugih, javni poredak, javni moral i zdravlje, sprečavanje nereda i kriminala, sprečavanje otkrivanja poverljivih inforamcija, i održavanje autoriteta i nepristrasnosti pravosuđa</w:t>
      </w:r>
      <w:r>
        <w:rPr>
          <w:rStyle w:val="FootnoteReference"/>
          <w:rFonts w:ascii="Times New Roman" w:hAnsi="Times New Roman"/>
          <w:sz w:val="24"/>
          <w:szCs w:val="24"/>
        </w:rPr>
        <w:footnoteReference w:id="4"/>
      </w:r>
      <w:r w:rsidRPr="002B2479">
        <w:rPr>
          <w:rFonts w:ascii="Times New Roman" w:hAnsi="Times New Roman"/>
          <w:i/>
          <w:sz w:val="24"/>
          <w:szCs w:val="24"/>
          <w:lang w:val="sr-Latn-CS"/>
        </w:rPr>
        <w:t>”</w:t>
      </w:r>
      <w:r w:rsidRPr="002B2479">
        <w:rPr>
          <w:rFonts w:ascii="Times New Roman" w:hAnsi="Times New Roman"/>
          <w:sz w:val="24"/>
          <w:szCs w:val="24"/>
          <w:lang w:val="sr-Latn-CS"/>
        </w:rPr>
        <w:t>. Naš Ustav u skladu sa istim određuje  samo “</w:t>
      </w:r>
      <w:r w:rsidRPr="002B2479">
        <w:rPr>
          <w:rFonts w:ascii="Times New Roman" w:hAnsi="Times New Roman"/>
          <w:i/>
          <w:sz w:val="24"/>
          <w:szCs w:val="24"/>
          <w:lang w:val="sr-Latn-CS"/>
        </w:rPr>
        <w:t>ako je to neophodno radi zaštite prava i ugleda drugih, čuvanja autoriteta i nepristrasnosti suda i zaštite javnog zdravlja, morala, demokratskog društva i nacionalne bezbednosti Republike Srbije</w:t>
      </w:r>
      <w:r>
        <w:rPr>
          <w:rStyle w:val="FootnoteReference"/>
          <w:rFonts w:ascii="Times New Roman" w:hAnsi="Times New Roman"/>
          <w:sz w:val="24"/>
          <w:szCs w:val="24"/>
        </w:rPr>
        <w:footnoteReference w:id="5"/>
      </w:r>
      <w:r w:rsidRPr="002B2479">
        <w:rPr>
          <w:rFonts w:ascii="Times New Roman" w:hAnsi="Times New Roman"/>
          <w:sz w:val="24"/>
          <w:szCs w:val="24"/>
          <w:lang w:val="sr-Latn-CS"/>
        </w:rPr>
        <w:t xml:space="preserve">”. </w:t>
      </w:r>
      <w:r>
        <w:rPr>
          <w:rFonts w:ascii="Times New Roman" w:hAnsi="Times New Roman"/>
          <w:sz w:val="24"/>
          <w:szCs w:val="24"/>
          <w:lang w:val="pl-PL"/>
        </w:rPr>
        <w:t>Čak i kada regulativa kojo</w:t>
      </w:r>
      <w:r w:rsidRPr="00746FB9">
        <w:rPr>
          <w:rFonts w:ascii="Times New Roman" w:hAnsi="Times New Roman"/>
          <w:sz w:val="24"/>
          <w:szCs w:val="24"/>
          <w:lang w:val="pl-PL"/>
        </w:rPr>
        <w:t>m se ograničava sloboda izražavanja teži legitimnom cilju, ta regulat</w:t>
      </w:r>
      <w:r>
        <w:rPr>
          <w:rFonts w:ascii="Times New Roman" w:hAnsi="Times New Roman"/>
          <w:sz w:val="24"/>
          <w:szCs w:val="24"/>
          <w:lang w:val="pl-PL"/>
        </w:rPr>
        <w:t xml:space="preserve">iva nije validna osim ako nije </w:t>
      </w:r>
      <w:r w:rsidRPr="00746FB9">
        <w:rPr>
          <w:rFonts w:ascii="Times New Roman" w:hAnsi="Times New Roman"/>
          <w:sz w:val="24"/>
          <w:szCs w:val="24"/>
          <w:lang w:val="pl-PL"/>
        </w:rPr>
        <w:t>neophodn</w:t>
      </w:r>
      <w:r>
        <w:rPr>
          <w:rFonts w:ascii="Times New Roman" w:hAnsi="Times New Roman"/>
          <w:sz w:val="24"/>
          <w:szCs w:val="24"/>
          <w:lang w:val="pl-PL"/>
        </w:rPr>
        <w:t>a u</w:t>
      </w:r>
      <w:r w:rsidRPr="00746FB9">
        <w:rPr>
          <w:rFonts w:ascii="Times New Roman" w:hAnsi="Times New Roman"/>
          <w:sz w:val="24"/>
          <w:szCs w:val="24"/>
          <w:lang w:val="pl-PL"/>
        </w:rPr>
        <w:t xml:space="preserve"> demokratskom društvu</w:t>
      </w:r>
      <w:r w:rsidRPr="002B2479">
        <w:rPr>
          <w:rFonts w:ascii="Times New Roman" w:hAnsi="Times New Roman"/>
          <w:sz w:val="24"/>
          <w:szCs w:val="24"/>
          <w:lang w:val="sr-Latn-CS"/>
        </w:rPr>
        <w:t>. Da bi se utvrdila “neophodnost” država mora da dokaže: (1) </w:t>
      </w:r>
      <w:r w:rsidRPr="002B2479">
        <w:rPr>
          <w:rFonts w:ascii="Times New Roman" w:hAnsi="Times New Roman"/>
          <w:i/>
          <w:sz w:val="24"/>
          <w:szCs w:val="24"/>
          <w:lang w:val="sr-Latn-CS"/>
        </w:rPr>
        <w:t>neodložnu društvenu potrebu</w:t>
      </w:r>
      <w:r w:rsidRPr="002B2479">
        <w:rPr>
          <w:rFonts w:ascii="Times New Roman" w:hAnsi="Times New Roman"/>
          <w:sz w:val="24"/>
          <w:szCs w:val="24"/>
          <w:lang w:val="sr-Latn-CS"/>
        </w:rPr>
        <w:t>; (2</w:t>
      </w:r>
      <w:r w:rsidRPr="002B2479">
        <w:rPr>
          <w:rFonts w:ascii="Times New Roman" w:hAnsi="Times New Roman"/>
          <w:i/>
          <w:sz w:val="24"/>
          <w:szCs w:val="24"/>
          <w:lang w:val="sr-Latn-CS"/>
        </w:rPr>
        <w:t>) srazmeru između ograničenja, uključujući i sankcije predviđene zakonom i cilja koji se želi ostvariti;</w:t>
      </w:r>
      <w:r w:rsidRPr="002B2479">
        <w:rPr>
          <w:rFonts w:ascii="Times New Roman" w:hAnsi="Times New Roman"/>
          <w:sz w:val="24"/>
          <w:szCs w:val="24"/>
          <w:lang w:val="sr-Latn-CS"/>
        </w:rPr>
        <w:t xml:space="preserve"> i (3) </w:t>
      </w:r>
      <w:r w:rsidRPr="002B2479">
        <w:rPr>
          <w:rFonts w:ascii="Times New Roman" w:hAnsi="Times New Roman"/>
          <w:i/>
          <w:sz w:val="24"/>
          <w:szCs w:val="24"/>
          <w:lang w:val="sr-Latn-CS"/>
        </w:rPr>
        <w:t>da su razlozi za ograničenje relevantni i dovoljni prema prethodno taksativno navednim opravdanim ciljevima</w:t>
      </w:r>
      <w:r>
        <w:rPr>
          <w:rStyle w:val="FootnoteReference"/>
          <w:rFonts w:ascii="Times New Roman" w:hAnsi="Times New Roman"/>
          <w:sz w:val="24"/>
          <w:szCs w:val="24"/>
        </w:rPr>
        <w:footnoteReference w:id="6"/>
      </w:r>
      <w:r w:rsidRPr="002B2479">
        <w:rPr>
          <w:rFonts w:ascii="Times New Roman" w:hAnsi="Times New Roman"/>
          <w:sz w:val="24"/>
          <w:szCs w:val="24"/>
          <w:lang w:val="sr-Latn-CS"/>
        </w:rPr>
        <w:t>.</w:t>
      </w:r>
    </w:p>
    <w:p w:rsidR="006A5A4A" w:rsidRPr="002E260B" w:rsidRDefault="006A5A4A" w:rsidP="00CC0D1F">
      <w:pPr>
        <w:ind w:firstLine="360"/>
        <w:jc w:val="both"/>
        <w:rPr>
          <w:rFonts w:ascii="Times New Roman" w:hAnsi="Times New Roman"/>
          <w:sz w:val="24"/>
          <w:szCs w:val="24"/>
        </w:rPr>
      </w:pPr>
      <w:r>
        <w:rPr>
          <w:rFonts w:ascii="Times New Roman" w:hAnsi="Times New Roman"/>
          <w:sz w:val="24"/>
          <w:szCs w:val="24"/>
          <w:lang w:val="sr-Latn-CS"/>
        </w:rPr>
        <w:t xml:space="preserve">Iako je veliki broj odredbi izmena i dopuna ovog Zakona bio sporan i kao takav iznesen na odlučivanje pred Ustavni sud, ovaj sud je odlučio da su samo neke odredbe neustavne. Po odluci suda sledeće odredbe predstavljaju ograničenje slobode izražavanja jer nisu uspele da nađu uporište svoje legalnosti i legitimnosti u prethodno obrazloženim uslovima. Te odredbe su: </w:t>
      </w:r>
    </w:p>
    <w:p w:rsidR="006A5A4A" w:rsidRDefault="006A5A4A" w:rsidP="0059273E">
      <w:pPr>
        <w:pStyle w:val="ListParagraph"/>
        <w:numPr>
          <w:ilvl w:val="0"/>
          <w:numId w:val="1"/>
        </w:numPr>
        <w:jc w:val="both"/>
        <w:rPr>
          <w:rFonts w:ascii="Times New Roman" w:hAnsi="Times New Roman"/>
          <w:sz w:val="24"/>
          <w:szCs w:val="24"/>
          <w:lang w:val="sr-Latn-CS"/>
        </w:rPr>
      </w:pPr>
      <w:r>
        <w:rPr>
          <w:rFonts w:ascii="Times New Roman" w:hAnsi="Times New Roman"/>
          <w:sz w:val="24"/>
          <w:szCs w:val="24"/>
          <w:lang w:val="sr-Latn-CS"/>
        </w:rPr>
        <w:t>Odredba koja propisuje da osnivač javnog glasila može da bude samo domaće pravno lice</w:t>
      </w:r>
      <w:r>
        <w:rPr>
          <w:rStyle w:val="FootnoteReference"/>
          <w:rFonts w:ascii="Times New Roman" w:hAnsi="Times New Roman"/>
          <w:sz w:val="24"/>
          <w:szCs w:val="24"/>
          <w:lang w:val="sr-Latn-CS"/>
        </w:rPr>
        <w:footnoteReference w:id="7"/>
      </w:r>
      <w:r>
        <w:rPr>
          <w:rFonts w:ascii="Times New Roman" w:hAnsi="Times New Roman"/>
          <w:sz w:val="24"/>
          <w:szCs w:val="24"/>
          <w:lang w:val="sr-Latn-CS"/>
        </w:rPr>
        <w:t>,</w:t>
      </w:r>
    </w:p>
    <w:p w:rsidR="006A5A4A" w:rsidRPr="009A20C4" w:rsidRDefault="006A5A4A" w:rsidP="0059273E">
      <w:pPr>
        <w:pStyle w:val="ListParagraph"/>
        <w:numPr>
          <w:ilvl w:val="0"/>
          <w:numId w:val="1"/>
        </w:numPr>
        <w:jc w:val="both"/>
        <w:rPr>
          <w:rFonts w:ascii="Times New Roman" w:hAnsi="Times New Roman"/>
          <w:sz w:val="24"/>
          <w:szCs w:val="24"/>
          <w:lang w:val="sr-Latn-CS"/>
        </w:rPr>
      </w:pPr>
      <w:r>
        <w:rPr>
          <w:rFonts w:ascii="Times New Roman" w:hAnsi="Times New Roman"/>
          <w:sz w:val="24"/>
          <w:szCs w:val="24"/>
          <w:lang w:val="sr-Latn-CS"/>
        </w:rPr>
        <w:t xml:space="preserve">Odrebe koje se odnose </w:t>
      </w:r>
      <w:r w:rsidRPr="002B2479">
        <w:rPr>
          <w:rFonts w:ascii="Times New Roman" w:hAnsi="Times New Roman"/>
          <w:sz w:val="24"/>
          <w:szCs w:val="24"/>
          <w:lang w:val="sr-Latn-CS"/>
        </w:rPr>
        <w:t>na obavezivanje tužioca i suda da pokrenu postupak za privredni prestup i izreknu meru privremene obustave delatnosti javnom glasilu u slučaju da nije registrovano a izdaje javno glasilo i u drugim slučajevima povreda odredaba člana 14a stava 3</w:t>
      </w:r>
      <w:r>
        <w:rPr>
          <w:rStyle w:val="FootnoteReference"/>
          <w:rFonts w:ascii="Times New Roman" w:hAnsi="Times New Roman"/>
          <w:sz w:val="24"/>
          <w:szCs w:val="24"/>
        </w:rPr>
        <w:footnoteReference w:id="8"/>
      </w:r>
      <w:r w:rsidRPr="002B2479">
        <w:rPr>
          <w:rFonts w:ascii="Times New Roman" w:hAnsi="Times New Roman"/>
          <w:sz w:val="24"/>
          <w:szCs w:val="24"/>
          <w:lang w:val="sr-Latn-CS"/>
        </w:rPr>
        <w:t xml:space="preserve">, </w:t>
      </w:r>
    </w:p>
    <w:p w:rsidR="006A5A4A" w:rsidRPr="009A20C4" w:rsidRDefault="006A5A4A" w:rsidP="0059273E">
      <w:pPr>
        <w:pStyle w:val="ListParagraph"/>
        <w:numPr>
          <w:ilvl w:val="0"/>
          <w:numId w:val="1"/>
        </w:numPr>
        <w:jc w:val="both"/>
        <w:rPr>
          <w:rFonts w:ascii="Times New Roman" w:hAnsi="Times New Roman"/>
          <w:sz w:val="24"/>
          <w:szCs w:val="24"/>
          <w:lang w:val="sr-Latn-CS"/>
        </w:rPr>
      </w:pPr>
      <w:r w:rsidRPr="002B2479">
        <w:rPr>
          <w:rFonts w:ascii="Times New Roman" w:hAnsi="Times New Roman"/>
          <w:sz w:val="24"/>
          <w:szCs w:val="24"/>
          <w:lang w:val="pt-BR"/>
        </w:rPr>
        <w:t>Odredbe koje se tiču kazni za određene privredne prestupe.</w:t>
      </w:r>
      <w:r>
        <w:rPr>
          <w:rStyle w:val="FootnoteReference"/>
          <w:rFonts w:ascii="Times New Roman" w:hAnsi="Times New Roman"/>
          <w:sz w:val="24"/>
          <w:szCs w:val="24"/>
        </w:rPr>
        <w:footnoteReference w:id="9"/>
      </w:r>
    </w:p>
    <w:p w:rsidR="006A5A4A" w:rsidRDefault="006A5A4A" w:rsidP="00D607C1">
      <w:pPr>
        <w:ind w:firstLine="360"/>
        <w:jc w:val="both"/>
        <w:rPr>
          <w:rFonts w:ascii="Times New Roman" w:hAnsi="Times New Roman"/>
          <w:sz w:val="24"/>
          <w:szCs w:val="24"/>
          <w:lang w:val="sr-Latn-CS"/>
        </w:rPr>
      </w:pPr>
      <w:r>
        <w:rPr>
          <w:rFonts w:ascii="Times New Roman" w:hAnsi="Times New Roman"/>
          <w:sz w:val="24"/>
          <w:szCs w:val="24"/>
          <w:lang w:val="sr-Latn-CS"/>
        </w:rPr>
        <w:t>Član 1 propisuje u svom stavu 1 da osnivač javnog glasila može biti samo domaće pravno lice. Sud je ovu odredbu proglasio neustavnom iz razloga zato što prvenstveno naš Ustav predviđa u svom članu 50 slobodu da „</w:t>
      </w:r>
      <w:r w:rsidRPr="00B225C7">
        <w:rPr>
          <w:rFonts w:ascii="Times New Roman" w:hAnsi="Times New Roman"/>
          <w:b/>
          <w:i/>
          <w:sz w:val="24"/>
          <w:szCs w:val="24"/>
          <w:lang w:val="sr-Latn-CS"/>
        </w:rPr>
        <w:t>svako može</w:t>
      </w:r>
      <w:r w:rsidRPr="0048085B">
        <w:rPr>
          <w:rFonts w:ascii="Times New Roman" w:hAnsi="Times New Roman"/>
          <w:i/>
          <w:sz w:val="24"/>
          <w:szCs w:val="24"/>
          <w:lang w:val="sr-Latn-CS"/>
        </w:rPr>
        <w:t xml:space="preserve"> bez ikakvog odobrenja, u skladu sa zakonom,  osnivati novine i druga sredstva javnog obaveštavanja</w:t>
      </w:r>
      <w:r>
        <w:rPr>
          <w:rFonts w:ascii="Times New Roman" w:hAnsi="Times New Roman"/>
          <w:i/>
          <w:sz w:val="24"/>
          <w:szCs w:val="24"/>
          <w:lang w:val="sr-Latn-CS"/>
        </w:rPr>
        <w:t>“</w:t>
      </w:r>
      <w:r>
        <w:rPr>
          <w:rFonts w:ascii="Times New Roman" w:hAnsi="Times New Roman"/>
          <w:sz w:val="24"/>
          <w:szCs w:val="24"/>
          <w:lang w:val="sr-Latn-CS"/>
        </w:rPr>
        <w:t xml:space="preserve">. Takođe u skladu sa već pomenutim članovima 10 Evropske Konvencije za zaštitu ljudskih prava i osnovnih sloboda i člana 19 </w:t>
      </w:r>
      <w:r>
        <w:rPr>
          <w:rFonts w:ascii="Times New Roman" w:hAnsi="Times New Roman"/>
          <w:sz w:val="24"/>
          <w:szCs w:val="24"/>
          <w:lang w:val="sr-Latn-CS"/>
        </w:rPr>
        <w:lastRenderedPageBreak/>
        <w:t>Međunarodnog pakta o građanskim i političkim pravima zagarantovana je sloboda izražavanja koja između ostalog onemogućava i uplitanje vlasti u njeno ostvarivanje, a u istim instrumentima se „</w:t>
      </w:r>
      <w:r w:rsidRPr="0048085B">
        <w:rPr>
          <w:rFonts w:ascii="Times New Roman" w:hAnsi="Times New Roman"/>
          <w:i/>
          <w:sz w:val="24"/>
          <w:szCs w:val="24"/>
          <w:lang w:val="sr-Latn-CS"/>
        </w:rPr>
        <w:t>naroč</w:t>
      </w:r>
      <w:r>
        <w:rPr>
          <w:rFonts w:ascii="Times New Roman" w:hAnsi="Times New Roman"/>
          <w:i/>
          <w:sz w:val="24"/>
          <w:szCs w:val="24"/>
          <w:lang w:val="sr-Latn-CS"/>
        </w:rPr>
        <w:t>tio strogo zabranjuje svaka mogućnost ostv</w:t>
      </w:r>
      <w:r w:rsidRPr="0048085B">
        <w:rPr>
          <w:rFonts w:ascii="Times New Roman" w:hAnsi="Times New Roman"/>
          <w:i/>
          <w:sz w:val="24"/>
          <w:szCs w:val="24"/>
          <w:lang w:val="sr-Latn-CS"/>
        </w:rPr>
        <w:t>a</w:t>
      </w:r>
      <w:r>
        <w:rPr>
          <w:rFonts w:ascii="Times New Roman" w:hAnsi="Times New Roman"/>
          <w:i/>
          <w:sz w:val="24"/>
          <w:szCs w:val="24"/>
          <w:lang w:val="sr-Latn-CS"/>
        </w:rPr>
        <w:t>r</w:t>
      </w:r>
      <w:r w:rsidRPr="0048085B">
        <w:rPr>
          <w:rFonts w:ascii="Times New Roman" w:hAnsi="Times New Roman"/>
          <w:i/>
          <w:sz w:val="24"/>
          <w:szCs w:val="24"/>
          <w:lang w:val="sr-Latn-CS"/>
        </w:rPr>
        <w:t xml:space="preserve">ivanja tog prava </w:t>
      </w:r>
      <w:r w:rsidRPr="00B225C7">
        <w:rPr>
          <w:rFonts w:ascii="Times New Roman" w:hAnsi="Times New Roman"/>
          <w:b/>
          <w:i/>
          <w:sz w:val="24"/>
          <w:szCs w:val="24"/>
          <w:lang w:val="sr-Latn-CS"/>
        </w:rPr>
        <w:t xml:space="preserve">na osnovu diskriminacije bilo po </w:t>
      </w:r>
      <w:r w:rsidRPr="00014060">
        <w:rPr>
          <w:rFonts w:ascii="Times New Roman" w:hAnsi="Times New Roman"/>
          <w:i/>
          <w:sz w:val="24"/>
          <w:szCs w:val="24"/>
          <w:lang w:val="sr-Latn-CS"/>
        </w:rPr>
        <w:t>polu, rasi, boji kože, jeziku, političkom ili drugom mišljenju,</w:t>
      </w:r>
      <w:r>
        <w:rPr>
          <w:rFonts w:ascii="Times New Roman" w:hAnsi="Times New Roman"/>
          <w:b/>
          <w:i/>
          <w:sz w:val="24"/>
          <w:szCs w:val="24"/>
          <w:lang w:val="sr-Latn-CS"/>
        </w:rPr>
        <w:t xml:space="preserve"> </w:t>
      </w:r>
      <w:r w:rsidRPr="00014060">
        <w:rPr>
          <w:rFonts w:ascii="Times New Roman" w:hAnsi="Times New Roman"/>
          <w:i/>
          <w:sz w:val="24"/>
          <w:szCs w:val="24"/>
          <w:lang w:val="sr-Latn-CS"/>
        </w:rPr>
        <w:t>nacionalnosti</w:t>
      </w:r>
      <w:r w:rsidRPr="00B225C7">
        <w:rPr>
          <w:rFonts w:ascii="Times New Roman" w:hAnsi="Times New Roman"/>
          <w:b/>
          <w:i/>
          <w:sz w:val="24"/>
          <w:szCs w:val="24"/>
          <w:lang w:val="sr-Latn-CS"/>
        </w:rPr>
        <w:t xml:space="preserve"> </w:t>
      </w:r>
      <w:r>
        <w:rPr>
          <w:rFonts w:ascii="Times New Roman" w:hAnsi="Times New Roman"/>
          <w:i/>
          <w:sz w:val="24"/>
          <w:szCs w:val="24"/>
          <w:lang w:val="sr-Latn-CS"/>
        </w:rPr>
        <w:t>ili socijalnom</w:t>
      </w:r>
      <w:r w:rsidRPr="00014060">
        <w:rPr>
          <w:rFonts w:ascii="Times New Roman" w:hAnsi="Times New Roman"/>
          <w:i/>
          <w:sz w:val="24"/>
          <w:szCs w:val="24"/>
          <w:lang w:val="sr-Latn-CS"/>
        </w:rPr>
        <w:t xml:space="preserve"> porekl</w:t>
      </w:r>
      <w:r>
        <w:rPr>
          <w:rFonts w:ascii="Times New Roman" w:hAnsi="Times New Roman"/>
          <w:i/>
          <w:sz w:val="24"/>
          <w:szCs w:val="24"/>
          <w:lang w:val="sr-Latn-CS"/>
        </w:rPr>
        <w:t>u</w:t>
      </w:r>
      <w:r>
        <w:rPr>
          <w:rFonts w:ascii="Times New Roman" w:hAnsi="Times New Roman"/>
          <w:sz w:val="24"/>
          <w:szCs w:val="24"/>
          <w:lang w:val="sr-Latn-CS"/>
        </w:rPr>
        <w:t xml:space="preserve">, </w:t>
      </w:r>
      <w:r w:rsidRPr="00014060">
        <w:rPr>
          <w:rFonts w:ascii="Times New Roman" w:hAnsi="Times New Roman"/>
          <w:i/>
          <w:sz w:val="24"/>
          <w:szCs w:val="24"/>
          <w:lang w:val="sr-Latn-CS"/>
        </w:rPr>
        <w:t>pripadnost nacionalnim manjinama</w:t>
      </w:r>
      <w:r>
        <w:rPr>
          <w:rFonts w:ascii="Times New Roman" w:hAnsi="Times New Roman"/>
          <w:sz w:val="24"/>
          <w:szCs w:val="24"/>
          <w:lang w:val="sr-Latn-CS"/>
        </w:rPr>
        <w:t xml:space="preserve">, </w:t>
      </w:r>
      <w:r w:rsidRPr="00014060">
        <w:rPr>
          <w:rFonts w:ascii="Times New Roman" w:hAnsi="Times New Roman"/>
          <w:i/>
          <w:sz w:val="24"/>
          <w:szCs w:val="24"/>
          <w:lang w:val="sr-Latn-CS"/>
        </w:rPr>
        <w:t>imovinskom stanju, rođenju ili drugom statusu</w:t>
      </w:r>
      <w:r>
        <w:rPr>
          <w:rStyle w:val="FootnoteReference"/>
          <w:rFonts w:ascii="Times New Roman" w:hAnsi="Times New Roman"/>
          <w:sz w:val="24"/>
          <w:szCs w:val="24"/>
          <w:lang w:val="sr-Latn-CS"/>
        </w:rPr>
        <w:footnoteReference w:id="10"/>
      </w:r>
      <w:r>
        <w:rPr>
          <w:rFonts w:ascii="Times New Roman" w:hAnsi="Times New Roman"/>
          <w:i/>
          <w:sz w:val="24"/>
          <w:szCs w:val="24"/>
          <w:lang w:val="sr-Latn-CS"/>
        </w:rPr>
        <w:t>“.</w:t>
      </w:r>
      <w:r>
        <w:rPr>
          <w:rFonts w:ascii="Times New Roman" w:hAnsi="Times New Roman"/>
          <w:sz w:val="24"/>
          <w:szCs w:val="24"/>
          <w:lang w:val="sr-Latn-CS"/>
        </w:rPr>
        <w:t xml:space="preserve"> Stoga ovakva odreba je neustavna jer predstavlja svojevrsno ograničenje i diskriminaciju u pogledu ostvarivanja slobode izražavanja omogućujući samo domaćim državljanima da osnuju javno glasilo u našoj zemlji.   </w:t>
      </w:r>
    </w:p>
    <w:p w:rsidR="006A5A4A" w:rsidRDefault="006A5A4A" w:rsidP="003A6DBF">
      <w:pPr>
        <w:ind w:firstLine="720"/>
        <w:jc w:val="both"/>
        <w:rPr>
          <w:rFonts w:ascii="Times New Roman" w:hAnsi="Times New Roman"/>
          <w:sz w:val="24"/>
          <w:szCs w:val="24"/>
          <w:lang w:val="sr-Latn-CS"/>
        </w:rPr>
      </w:pPr>
      <w:r>
        <w:rPr>
          <w:rFonts w:ascii="Times New Roman" w:hAnsi="Times New Roman"/>
          <w:sz w:val="24"/>
          <w:szCs w:val="24"/>
          <w:lang w:val="sr-Latn-CS"/>
        </w:rPr>
        <w:t>Kao pitanje se postavila i neustavnost obaveze registracije iz istog stava, međutim sud je odbio takav zaključak. Sama po sebi registracija nije protivna Ustavu i međunarodnim aktima sve dok su razlozi njenog donošenja i njen obim čisto tehnički ili administrativni i dok ne zadiru u samu srž slobode govora tj. dok se ona ne pretvori u sistem odobrenja</w:t>
      </w:r>
      <w:r>
        <w:rPr>
          <w:rStyle w:val="FootnoteReference"/>
          <w:rFonts w:ascii="Times New Roman" w:hAnsi="Times New Roman"/>
          <w:sz w:val="24"/>
          <w:szCs w:val="24"/>
          <w:lang w:val="sr-Latn-CS"/>
        </w:rPr>
        <w:footnoteReference w:id="11"/>
      </w:r>
      <w:r>
        <w:rPr>
          <w:rFonts w:ascii="Times New Roman" w:hAnsi="Times New Roman"/>
          <w:sz w:val="24"/>
          <w:szCs w:val="24"/>
          <w:lang w:val="sr-Latn-CS"/>
        </w:rPr>
        <w:t>. Ipak, imajući u vidu da se za slučaj neupisivanja u Registar izriče mera obustave delatnosti izdavanja javnog glasila</w:t>
      </w:r>
      <w:r>
        <w:rPr>
          <w:rStyle w:val="FootnoteReference"/>
          <w:rFonts w:ascii="Times New Roman" w:hAnsi="Times New Roman"/>
          <w:sz w:val="24"/>
          <w:szCs w:val="24"/>
          <w:lang w:val="sr-Latn-CS"/>
        </w:rPr>
        <w:footnoteReference w:id="12"/>
      </w:r>
      <w:r>
        <w:rPr>
          <w:rFonts w:ascii="Times New Roman" w:hAnsi="Times New Roman"/>
          <w:sz w:val="24"/>
          <w:szCs w:val="24"/>
          <w:lang w:val="sr-Latn-CS"/>
        </w:rPr>
        <w:t xml:space="preserve"> samim tim upisivanje u Registar dobija karakter konstitutivnog akta neophodnog za osnivanje javnog glasila, što je nesaglasno kako sa našim Ustavom tako i međunarodnim pravnim instrumentima. Sama registracija po sebi nije neustavna, ali ako se ona nameće kao neophodan uslov pri osnivanju javnog glasila (na šta implicira po automatizmu predviđena sankcija obustave delatnosti javnog glasila u članu 14a) takva mera se smatra neustavnom (Član 50 Ustava RS:</w:t>
      </w:r>
      <w:r w:rsidRPr="003B4E19">
        <w:rPr>
          <w:rFonts w:ascii="Times New Roman" w:hAnsi="Times New Roman"/>
          <w:i/>
          <w:sz w:val="24"/>
          <w:szCs w:val="24"/>
          <w:lang w:val="sr-Latn-CS"/>
        </w:rPr>
        <w:t xml:space="preserve"> </w:t>
      </w:r>
      <w:r>
        <w:rPr>
          <w:rFonts w:ascii="Times New Roman" w:hAnsi="Times New Roman"/>
          <w:i/>
          <w:sz w:val="24"/>
          <w:szCs w:val="24"/>
          <w:lang w:val="sr-Latn-CS"/>
        </w:rPr>
        <w:t>„</w:t>
      </w:r>
      <w:r w:rsidRPr="0048085B">
        <w:rPr>
          <w:rFonts w:ascii="Times New Roman" w:hAnsi="Times New Roman"/>
          <w:i/>
          <w:sz w:val="24"/>
          <w:szCs w:val="24"/>
          <w:lang w:val="sr-Latn-CS"/>
        </w:rPr>
        <w:t xml:space="preserve">svako može </w:t>
      </w:r>
      <w:r w:rsidRPr="00B225C7">
        <w:rPr>
          <w:rFonts w:ascii="Times New Roman" w:hAnsi="Times New Roman"/>
          <w:b/>
          <w:i/>
          <w:sz w:val="24"/>
          <w:szCs w:val="24"/>
          <w:lang w:val="sr-Latn-CS"/>
        </w:rPr>
        <w:t>bez ikakvog odobrenja</w:t>
      </w:r>
      <w:r>
        <w:rPr>
          <w:rFonts w:ascii="Times New Roman" w:hAnsi="Times New Roman"/>
          <w:i/>
          <w:sz w:val="24"/>
          <w:szCs w:val="24"/>
          <w:lang w:val="sr-Latn-CS"/>
        </w:rPr>
        <w:t>...“</w:t>
      </w:r>
      <w:r w:rsidRPr="003B4E19">
        <w:rPr>
          <w:rFonts w:ascii="Times New Roman" w:hAnsi="Times New Roman"/>
          <w:sz w:val="24"/>
          <w:szCs w:val="24"/>
          <w:lang w:val="sr-Latn-CS"/>
        </w:rPr>
        <w:t>)</w:t>
      </w:r>
      <w:r>
        <w:rPr>
          <w:rFonts w:ascii="Times New Roman" w:hAnsi="Times New Roman"/>
          <w:sz w:val="24"/>
          <w:szCs w:val="24"/>
          <w:lang w:val="sr-Latn-CS"/>
        </w:rPr>
        <w:t xml:space="preserve"> i u suprotnosti sa međunarodnim pravom, kako je i Ustavni sud odlučio po ovom pitanju. </w:t>
      </w:r>
    </w:p>
    <w:p w:rsidR="006A5A4A" w:rsidRPr="002B2479" w:rsidRDefault="006A5A4A" w:rsidP="003A6DBF">
      <w:pPr>
        <w:ind w:firstLine="720"/>
        <w:jc w:val="both"/>
        <w:rPr>
          <w:rFonts w:ascii="Times New Roman" w:hAnsi="Times New Roman"/>
          <w:sz w:val="24"/>
          <w:szCs w:val="24"/>
          <w:lang w:val="sr-Latn-CS"/>
        </w:rPr>
      </w:pPr>
      <w:r>
        <w:rPr>
          <w:rFonts w:ascii="Times New Roman" w:hAnsi="Times New Roman"/>
          <w:sz w:val="24"/>
          <w:szCs w:val="24"/>
          <w:lang w:val="sr-Latn-CS"/>
        </w:rPr>
        <w:t xml:space="preserve">Dalje, odredbe člana 14a stav 5, 6 i 7 su takođe proglašene neustavnim s obzirom da predstavljaju neustavno uplitanje u sferu pravosuđa zahtevajući od sudova da </w:t>
      </w:r>
      <w:r w:rsidRPr="002B2479">
        <w:rPr>
          <w:rFonts w:ascii="Times New Roman" w:hAnsi="Times New Roman"/>
          <w:sz w:val="24"/>
          <w:szCs w:val="24"/>
          <w:lang w:val="sr-Latn-CS"/>
        </w:rPr>
        <w:t xml:space="preserve">izriču privremene mere zabrane samo na osnovu odluke tužioca da pokrene postupak protiv javnog glasila. Ovakvim radnjama se krše ustavna načela koja se tiču </w:t>
      </w:r>
      <w:r w:rsidRPr="002B2479">
        <w:rPr>
          <w:rFonts w:ascii="Times New Roman" w:hAnsi="Times New Roman"/>
          <w:b/>
          <w:i/>
          <w:sz w:val="24"/>
          <w:szCs w:val="24"/>
          <w:lang w:val="sr-Latn-CS"/>
        </w:rPr>
        <w:t>podele vlasti</w:t>
      </w:r>
      <w:r w:rsidRPr="002B2479">
        <w:rPr>
          <w:rFonts w:ascii="Times New Roman" w:hAnsi="Times New Roman"/>
          <w:sz w:val="24"/>
          <w:szCs w:val="24"/>
          <w:lang w:val="sr-Latn-CS"/>
        </w:rPr>
        <w:t xml:space="preserve">, </w:t>
      </w:r>
      <w:r w:rsidRPr="002B2479">
        <w:rPr>
          <w:rFonts w:ascii="Times New Roman" w:hAnsi="Times New Roman"/>
          <w:b/>
          <w:i/>
          <w:sz w:val="24"/>
          <w:szCs w:val="24"/>
          <w:lang w:val="sr-Latn-CS"/>
        </w:rPr>
        <w:t>nezavisnosti i samostalnosti</w:t>
      </w:r>
      <w:r w:rsidRPr="002B2479">
        <w:rPr>
          <w:rFonts w:ascii="Times New Roman" w:hAnsi="Times New Roman"/>
          <w:i/>
          <w:sz w:val="24"/>
          <w:szCs w:val="24"/>
          <w:lang w:val="sr-Latn-CS"/>
        </w:rPr>
        <w:t xml:space="preserve"> sudske vlasti, sudova i javog tužilaštva</w:t>
      </w:r>
      <w:r>
        <w:rPr>
          <w:rStyle w:val="FootnoteReference"/>
          <w:rFonts w:ascii="Times New Roman" w:hAnsi="Times New Roman"/>
          <w:i/>
          <w:sz w:val="24"/>
          <w:szCs w:val="24"/>
        </w:rPr>
        <w:footnoteReference w:id="13"/>
      </w:r>
      <w:r w:rsidRPr="002B2479">
        <w:rPr>
          <w:rFonts w:ascii="Times New Roman" w:hAnsi="Times New Roman"/>
          <w:sz w:val="24"/>
          <w:szCs w:val="24"/>
          <w:lang w:val="sr-Latn-CS"/>
        </w:rPr>
        <w:t xml:space="preserve"> jer se sudovima ne ostavlja nikakvo diskreciono pravo da odlučuju o zakonitosti i opravdanosti pomenute mere, nego se to vrši samim zakonom, a sud je tu samo da izvrši pomenutu naredbu. Takođe, obaveza javnog tužioca da pokrene postupak za privredni prestup bez odlaganja predstavlja narušavanje ustavnog načela </w:t>
      </w:r>
      <w:r w:rsidRPr="002B2479">
        <w:rPr>
          <w:rFonts w:ascii="Times New Roman" w:hAnsi="Times New Roman"/>
          <w:i/>
          <w:sz w:val="24"/>
          <w:szCs w:val="24"/>
          <w:lang w:val="sr-Latn-CS"/>
        </w:rPr>
        <w:t>samostalnosti javnog tužilaštva</w:t>
      </w:r>
      <w:r w:rsidRPr="002B2479">
        <w:rPr>
          <w:rFonts w:ascii="Times New Roman" w:hAnsi="Times New Roman"/>
          <w:sz w:val="24"/>
          <w:szCs w:val="24"/>
          <w:lang w:val="sr-Latn-CS"/>
        </w:rPr>
        <w:t>. Time se eliminiše nezavisnost suda od strane zakonodavne i izvršne vlasti i sprovodi se vansudska kontrola nad jednom čisto sudskom funkcijom</w:t>
      </w:r>
      <w:r>
        <w:rPr>
          <w:rStyle w:val="FootnoteReference"/>
          <w:rFonts w:ascii="Times New Roman" w:hAnsi="Times New Roman"/>
          <w:sz w:val="24"/>
          <w:szCs w:val="24"/>
        </w:rPr>
        <w:footnoteReference w:id="14"/>
      </w:r>
      <w:r w:rsidRPr="002B2479">
        <w:rPr>
          <w:rFonts w:ascii="Times New Roman" w:hAnsi="Times New Roman"/>
          <w:sz w:val="24"/>
          <w:szCs w:val="24"/>
          <w:lang w:val="sr-Latn-CS"/>
        </w:rPr>
        <w:t>.</w:t>
      </w:r>
      <w:r w:rsidRPr="002B2479">
        <w:rPr>
          <w:rStyle w:val="FootnoteReference"/>
          <w:rFonts w:ascii="Times New Roman" w:hAnsi="Times New Roman"/>
          <w:sz w:val="24"/>
          <w:szCs w:val="24"/>
          <w:lang w:val="sr-Latn-CS"/>
        </w:rPr>
        <w:t xml:space="preserve"> </w:t>
      </w:r>
      <w:r w:rsidRPr="002B2479">
        <w:rPr>
          <w:rFonts w:ascii="Times New Roman" w:hAnsi="Times New Roman"/>
          <w:sz w:val="24"/>
          <w:szCs w:val="24"/>
          <w:lang w:val="sr-Latn-CS"/>
        </w:rPr>
        <w:t xml:space="preserve">Takođe, propisana mera privremene obustave delatnosti izdavanja javnog glasila je neustavna i krši </w:t>
      </w:r>
      <w:r w:rsidRPr="002B2479">
        <w:rPr>
          <w:rFonts w:ascii="Times New Roman" w:hAnsi="Times New Roman"/>
          <w:b/>
          <w:i/>
          <w:sz w:val="24"/>
          <w:szCs w:val="24"/>
          <w:lang w:val="sr-Latn-CS"/>
        </w:rPr>
        <w:t xml:space="preserve">načelo jedinstva </w:t>
      </w:r>
      <w:r w:rsidRPr="002B2479">
        <w:rPr>
          <w:rFonts w:ascii="Times New Roman" w:hAnsi="Times New Roman"/>
          <w:b/>
          <w:i/>
          <w:sz w:val="24"/>
          <w:szCs w:val="24"/>
          <w:lang w:val="sr-Latn-CS"/>
        </w:rPr>
        <w:lastRenderedPageBreak/>
        <w:t>pravnog poretka i načelo jednakosti svih pred zakonom</w:t>
      </w:r>
      <w:r w:rsidRPr="002B2479">
        <w:rPr>
          <w:rFonts w:ascii="Times New Roman" w:hAnsi="Times New Roman"/>
          <w:sz w:val="24"/>
          <w:szCs w:val="24"/>
          <w:lang w:val="sr-Latn-CS"/>
        </w:rPr>
        <w:t xml:space="preserve"> s obzirom da sam zakon o Privrednim prestupima ne predviđa takvu vrstu sankcije za privredne prestupe (predviđa samo zaštitnu meru i to kad je učiniocu izrečena kazna a ne dok postupak traje</w:t>
      </w:r>
      <w:r>
        <w:rPr>
          <w:rStyle w:val="FootnoteReference"/>
          <w:rFonts w:ascii="Times New Roman" w:hAnsi="Times New Roman"/>
          <w:sz w:val="24"/>
          <w:szCs w:val="24"/>
        </w:rPr>
        <w:footnoteReference w:id="15"/>
      </w:r>
      <w:r w:rsidRPr="002B2479">
        <w:rPr>
          <w:rFonts w:ascii="Times New Roman" w:hAnsi="Times New Roman"/>
          <w:sz w:val="24"/>
          <w:szCs w:val="24"/>
          <w:lang w:val="sr-Latn-CS"/>
        </w:rPr>
        <w:t>).</w:t>
      </w:r>
    </w:p>
    <w:p w:rsidR="006A5A4A" w:rsidRPr="002B2479" w:rsidRDefault="006A5A4A" w:rsidP="00046DF7">
      <w:pPr>
        <w:ind w:firstLine="720"/>
        <w:jc w:val="both"/>
        <w:rPr>
          <w:rFonts w:ascii="Times New Roman" w:hAnsi="Times New Roman"/>
          <w:sz w:val="24"/>
          <w:szCs w:val="24"/>
          <w:lang w:val="sr-Latn-CS"/>
        </w:rPr>
      </w:pPr>
      <w:r w:rsidRPr="002B2479">
        <w:rPr>
          <w:rFonts w:ascii="Times New Roman" w:hAnsi="Times New Roman"/>
          <w:sz w:val="24"/>
          <w:szCs w:val="24"/>
          <w:lang w:val="sr-Latn-CS"/>
        </w:rPr>
        <w:t xml:space="preserve">Na kraju odredbe člana 4, 5 i 6 koje se tiču sankcija kao sto su novčane kazne za osnivače, odgovorno lice u osnivaču i odgovornog urenika javnog glasila; zaštitne mere zabrane obavljanja delatnosti izdavanja javnih glasila odnosno uslovne osude su takođe neustavne. Prvo, visina kazni za privredne prestupe je izvan okvira utvrđenim u Zakonu o privrednim prestupima, čime se narušava </w:t>
      </w:r>
      <w:r w:rsidRPr="002B2479">
        <w:rPr>
          <w:rFonts w:ascii="Times New Roman" w:hAnsi="Times New Roman"/>
          <w:i/>
          <w:sz w:val="24"/>
          <w:szCs w:val="24"/>
          <w:lang w:val="sr-Latn-CS"/>
        </w:rPr>
        <w:t>načelo jedinstva pravnog poretka</w:t>
      </w:r>
      <w:r w:rsidRPr="002B2479">
        <w:rPr>
          <w:rFonts w:ascii="Times New Roman" w:hAnsi="Times New Roman"/>
          <w:sz w:val="24"/>
          <w:szCs w:val="24"/>
          <w:lang w:val="sr-Latn-CS"/>
        </w:rPr>
        <w:t>, s obzirom da se u tom zakonu nalazi minimum i maksimum kazni koji može biti propisan za privredne prestupe, a kazne u spornoj izmeni zakona su po deset puta veće od maksimalnih propisanih kazni. Dalje, visina samih kazni za pomenute prestupe je previsoka i samim tim nesrazmerna težini učinjenog prestupa</w:t>
      </w:r>
      <w:r>
        <w:rPr>
          <w:rStyle w:val="FootnoteReference"/>
          <w:rFonts w:ascii="Times New Roman" w:hAnsi="Times New Roman"/>
          <w:sz w:val="24"/>
          <w:szCs w:val="24"/>
        </w:rPr>
        <w:footnoteReference w:id="16"/>
      </w:r>
      <w:r w:rsidRPr="002B2479">
        <w:rPr>
          <w:rFonts w:ascii="Times New Roman" w:hAnsi="Times New Roman"/>
          <w:sz w:val="24"/>
          <w:szCs w:val="24"/>
          <w:lang w:val="sr-Latn-CS"/>
        </w:rPr>
        <w:t xml:space="preserve"> te može dovesti do jednog vida auto-cenzure jer se javna glasila mogu ustručavati da objave određenu vest iz straha od previsokih kazni. Stav Evropskog suda za Ljudska prava je da i kazna sama po sebi može predstavljati kršenje slobode govora ako nije proporionalna težini učinjenog dela tj. ako je previsoka</w:t>
      </w:r>
      <w:r>
        <w:rPr>
          <w:rStyle w:val="FootnoteReference"/>
          <w:rFonts w:ascii="Times New Roman" w:hAnsi="Times New Roman"/>
          <w:sz w:val="24"/>
          <w:szCs w:val="24"/>
        </w:rPr>
        <w:footnoteReference w:id="17"/>
      </w:r>
      <w:r w:rsidRPr="002B2479">
        <w:rPr>
          <w:rFonts w:ascii="Times New Roman" w:hAnsi="Times New Roman"/>
          <w:sz w:val="24"/>
          <w:szCs w:val="24"/>
          <w:lang w:val="sr-Latn-CS"/>
        </w:rPr>
        <w:t>. Propisane kazne u spornom aktu ne samo da prevazilaze okvire iz Zakona o Privrednim Prestupima nego zbog njihove visine ozbiljno ugrožavaju opstanak javnih glasila u slučaju da budu osuđena na maksimalnu kaznu. Na kraju, neustavne su i odredbe kojima se kršenje pretpostavke nevinosti i zaštite prava maloletnika tretiraju kao privredni prestup, jer po svojoj prirodi ne predstavljaju povredu privrednog i finansijskog poslovanja</w:t>
      </w:r>
      <w:r>
        <w:rPr>
          <w:rStyle w:val="FootnoteReference"/>
          <w:rFonts w:ascii="Times New Roman" w:hAnsi="Times New Roman"/>
          <w:sz w:val="24"/>
          <w:szCs w:val="24"/>
        </w:rPr>
        <w:footnoteReference w:id="18"/>
      </w:r>
      <w:r w:rsidRPr="002B2479">
        <w:rPr>
          <w:rFonts w:ascii="Times New Roman" w:hAnsi="Times New Roman"/>
          <w:sz w:val="24"/>
          <w:szCs w:val="24"/>
          <w:lang w:val="sr-Latn-CS"/>
        </w:rPr>
        <w:t xml:space="preserve">. </w:t>
      </w:r>
    </w:p>
    <w:p w:rsidR="006A5A4A" w:rsidRPr="002B2479" w:rsidRDefault="006A5A4A" w:rsidP="003A6DBF">
      <w:pPr>
        <w:ind w:firstLine="720"/>
        <w:jc w:val="both"/>
        <w:rPr>
          <w:rFonts w:ascii="Times New Roman" w:hAnsi="Times New Roman"/>
          <w:sz w:val="24"/>
          <w:szCs w:val="24"/>
          <w:lang w:val="pt-BR"/>
        </w:rPr>
      </w:pPr>
      <w:r w:rsidRPr="002B2479">
        <w:rPr>
          <w:rFonts w:ascii="Times New Roman" w:hAnsi="Times New Roman"/>
          <w:sz w:val="24"/>
          <w:szCs w:val="24"/>
          <w:lang w:val="sr-Latn-CS"/>
        </w:rPr>
        <w:t xml:space="preserve">Nakon odlučivanja o neustavnosti ovih odredbi Ustvani sud je pokrenuo na istoj sednici i pitanje ustavnosti odredbi člana 146 stav 2 gde se određuje da Ministar nadležan za poslove javnog informisanja bliže uređuje način vođenja Registra javnih glasila, rok za donošenje tog propisa i obaveze osnivača javnih glasila da podnesu prijave za upis u Registar, te se preispituju ova njegova ovlašćenja. Sa stanovišta Ustava izvršna vlast može da donosi propise u domenu izvršenja a ovim putem se otvara mogućnost da uredi podzakonskim aktom oblast koja je po Ustavu u nadležnosti zakonodavnog organa. </w:t>
      </w:r>
      <w:r w:rsidRPr="002B2479">
        <w:rPr>
          <w:rFonts w:ascii="Times New Roman" w:hAnsi="Times New Roman"/>
          <w:sz w:val="24"/>
          <w:szCs w:val="24"/>
          <w:lang w:val="pt-BR"/>
        </w:rPr>
        <w:t>O ovom pitanju sud tek treba da odluči na nekoj od narednih sednica</w:t>
      </w:r>
      <w:r>
        <w:rPr>
          <w:rStyle w:val="FootnoteReference"/>
          <w:rFonts w:ascii="Times New Roman" w:hAnsi="Times New Roman"/>
          <w:sz w:val="24"/>
          <w:szCs w:val="24"/>
        </w:rPr>
        <w:footnoteReference w:id="19"/>
      </w:r>
      <w:r w:rsidRPr="002B2479">
        <w:rPr>
          <w:rFonts w:ascii="Times New Roman" w:hAnsi="Times New Roman"/>
          <w:sz w:val="24"/>
          <w:szCs w:val="24"/>
          <w:lang w:val="pt-BR"/>
        </w:rPr>
        <w:t xml:space="preserve">. </w:t>
      </w:r>
    </w:p>
    <w:p w:rsidR="006A5A4A" w:rsidRPr="002B2479" w:rsidRDefault="006A5A4A" w:rsidP="001C5771">
      <w:pPr>
        <w:jc w:val="center"/>
        <w:rPr>
          <w:rFonts w:ascii="Times New Roman" w:hAnsi="Times New Roman"/>
          <w:sz w:val="24"/>
          <w:szCs w:val="24"/>
          <w:lang w:val="pt-BR"/>
        </w:rPr>
      </w:pPr>
      <w:r w:rsidRPr="002B2479">
        <w:rPr>
          <w:rFonts w:ascii="Times New Roman" w:hAnsi="Times New Roman"/>
          <w:sz w:val="24"/>
          <w:szCs w:val="24"/>
          <w:lang w:val="pt-BR"/>
        </w:rPr>
        <w:t>***</w:t>
      </w:r>
    </w:p>
    <w:p w:rsidR="006A5A4A" w:rsidRPr="002B2479" w:rsidRDefault="006A5A4A" w:rsidP="003A6DBF">
      <w:pPr>
        <w:ind w:firstLine="720"/>
        <w:jc w:val="both"/>
        <w:rPr>
          <w:rFonts w:ascii="Times New Roman" w:hAnsi="Times New Roman"/>
          <w:sz w:val="24"/>
          <w:szCs w:val="24"/>
          <w:lang w:val="pt-BR"/>
        </w:rPr>
      </w:pPr>
      <w:r w:rsidRPr="002B2479">
        <w:rPr>
          <w:rFonts w:ascii="Times New Roman" w:hAnsi="Times New Roman"/>
          <w:sz w:val="24"/>
          <w:szCs w:val="24"/>
          <w:lang w:val="pt-BR"/>
        </w:rPr>
        <w:t xml:space="preserve">S obzirom da prikazane odredbe predstavljaju, kao što smo na početku rekli, jedan vid ograničenja slobode izražavanja a da njihovo donošenje nije bilo inspirisano nijednom gorućom društvenom potrebom niti valjanim razlogom, a nisu ni pokazale kako bi doprinele očuvanju demokratskog društva već naprotiv, samim tim se smatraju neustavnim što je i potvrdio Ustavni </w:t>
      </w:r>
      <w:r w:rsidRPr="002B2479">
        <w:rPr>
          <w:rFonts w:ascii="Times New Roman" w:hAnsi="Times New Roman"/>
          <w:sz w:val="24"/>
          <w:szCs w:val="24"/>
          <w:lang w:val="pt-BR"/>
        </w:rPr>
        <w:lastRenderedPageBreak/>
        <w:t xml:space="preserve">sud odlukom po ovom pitanju. Ovakvom odlukom Ustavni sud je samo iskazao usklađenost domaćeg zakonodavstva sa prihvaćenim međunarodnim pravnim instrumentima i podržao dalje napore na kreiranju jednog adekvatnog pravnog okvira za slobodu izražavanja u Srbiji. </w:t>
      </w:r>
    </w:p>
    <w:p w:rsidR="006A5A4A" w:rsidRPr="002B2479" w:rsidRDefault="006A5A4A" w:rsidP="001C5771">
      <w:pPr>
        <w:jc w:val="both"/>
        <w:rPr>
          <w:rFonts w:ascii="Times New Roman" w:hAnsi="Times New Roman"/>
          <w:sz w:val="24"/>
          <w:szCs w:val="24"/>
          <w:lang w:val="pt-BR"/>
        </w:rPr>
      </w:pPr>
    </w:p>
    <w:p w:rsidR="006A5A4A" w:rsidRDefault="006A5A4A" w:rsidP="005710D8">
      <w:pPr>
        <w:tabs>
          <w:tab w:val="left" w:pos="2370"/>
        </w:tabs>
      </w:pPr>
    </w:p>
    <w:p w:rsidR="006A5A4A" w:rsidRDefault="006A5A4A" w:rsidP="005710D8">
      <w:pPr>
        <w:tabs>
          <w:tab w:val="left" w:pos="2370"/>
        </w:tabs>
        <w:rPr>
          <w:i/>
        </w:rPr>
      </w:pPr>
      <w:r w:rsidRPr="00B55B0A">
        <w:rPr>
          <w:i/>
        </w:rPr>
        <w:br/>
      </w:r>
    </w:p>
    <w:p w:rsidR="006A5A4A" w:rsidRDefault="006A5A4A" w:rsidP="005710D8">
      <w:pPr>
        <w:tabs>
          <w:tab w:val="left" w:pos="2370"/>
        </w:tabs>
        <w:rPr>
          <w:i/>
        </w:rPr>
      </w:pPr>
    </w:p>
    <w:p w:rsidR="006A5A4A" w:rsidRDefault="006A5A4A" w:rsidP="001873D5">
      <w:pPr>
        <w:tabs>
          <w:tab w:val="left" w:pos="2370"/>
        </w:tabs>
        <w:rPr>
          <w:i/>
        </w:rPr>
      </w:pPr>
      <w:r w:rsidRPr="00DD41E8">
        <w:rPr>
          <w:lang w:val="it-IT"/>
        </w:rPr>
        <w:tab/>
      </w:r>
    </w:p>
    <w:p w:rsidR="006A5A4A" w:rsidRDefault="006A5A4A" w:rsidP="001873D5">
      <w:pPr>
        <w:tabs>
          <w:tab w:val="left" w:pos="2370"/>
        </w:tabs>
        <w:rPr>
          <w:i/>
        </w:rPr>
      </w:pPr>
    </w:p>
    <w:p w:rsidR="006A5A4A" w:rsidRPr="009A20C4" w:rsidRDefault="006A5A4A" w:rsidP="0048085B">
      <w:pPr>
        <w:rPr>
          <w:rFonts w:ascii="Times New Roman" w:hAnsi="Times New Roman"/>
          <w:sz w:val="24"/>
          <w:szCs w:val="24"/>
          <w:lang w:val="sr-Latn-CS"/>
        </w:rPr>
      </w:pPr>
    </w:p>
    <w:sectPr w:rsidR="006A5A4A" w:rsidRPr="009A20C4" w:rsidSect="00D47FC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A4A" w:rsidRDefault="006A5A4A" w:rsidP="0019003C">
      <w:pPr>
        <w:spacing w:after="0" w:line="240" w:lineRule="auto"/>
      </w:pPr>
      <w:r>
        <w:separator/>
      </w:r>
    </w:p>
  </w:endnote>
  <w:endnote w:type="continuationSeparator" w:id="0">
    <w:p w:rsidR="006A5A4A" w:rsidRDefault="006A5A4A" w:rsidP="00190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A4A" w:rsidRDefault="006A5A4A" w:rsidP="0019003C">
      <w:pPr>
        <w:spacing w:after="0" w:line="240" w:lineRule="auto"/>
      </w:pPr>
      <w:r>
        <w:separator/>
      </w:r>
    </w:p>
  </w:footnote>
  <w:footnote w:type="continuationSeparator" w:id="0">
    <w:p w:rsidR="006A5A4A" w:rsidRDefault="006A5A4A" w:rsidP="0019003C">
      <w:pPr>
        <w:spacing w:after="0" w:line="240" w:lineRule="auto"/>
      </w:pPr>
      <w:r>
        <w:continuationSeparator/>
      </w:r>
    </w:p>
  </w:footnote>
  <w:footnote w:id="1">
    <w:p w:rsidR="006A5A4A" w:rsidRPr="002B2479" w:rsidRDefault="006A5A4A" w:rsidP="00A23142">
      <w:pPr>
        <w:pStyle w:val="FootnoteText"/>
        <w:jc w:val="both"/>
        <w:rPr>
          <w:rFonts w:ascii="Arial" w:hAnsi="Arial" w:cs="Arial"/>
          <w:sz w:val="18"/>
          <w:szCs w:val="18"/>
          <w:lang w:val="pt-BR"/>
        </w:rPr>
      </w:pPr>
      <w:r w:rsidRPr="001729F2">
        <w:rPr>
          <w:rStyle w:val="FootnoteReference"/>
          <w:rFonts w:ascii="Arial" w:hAnsi="Arial" w:cs="Arial"/>
          <w:sz w:val="18"/>
          <w:szCs w:val="18"/>
        </w:rPr>
        <w:footnoteRef/>
      </w:r>
      <w:r w:rsidRPr="002B2479">
        <w:rPr>
          <w:rFonts w:ascii="Arial" w:hAnsi="Arial" w:cs="Arial"/>
          <w:sz w:val="18"/>
          <w:szCs w:val="18"/>
          <w:lang w:val="pt-BR"/>
        </w:rPr>
        <w:t xml:space="preserve"> Saopštenje sa 31. Redovne sednice Ustavnog suda, održane 22. Jula 2010. godine, kojim je presedavala dr. Bosa Nenadić, presednik Ustavnog suda. </w:t>
      </w:r>
    </w:p>
    <w:p w:rsidR="006A5A4A" w:rsidRDefault="008A1936" w:rsidP="00A23142">
      <w:pPr>
        <w:pStyle w:val="FootnoteText"/>
        <w:jc w:val="both"/>
      </w:pPr>
      <w:hyperlink r:id="rId1" w:history="1">
        <w:r w:rsidR="006A5A4A" w:rsidRPr="002B2479">
          <w:rPr>
            <w:rStyle w:val="Hyperlink"/>
            <w:rFonts w:ascii="Arial" w:hAnsi="Arial" w:cs="Arial"/>
            <w:sz w:val="18"/>
            <w:szCs w:val="18"/>
            <w:lang w:val="pt-BR"/>
          </w:rPr>
          <w:t>http://www.ustavni.sud.rs/page/view/149-101247/saopstenje-sa-31-redovne-sednice-ustavnog-suda-odrzane-22-jula-2010-godine-kojom-je-predsedavala-dr-bosa-nenadic-predsednik-ustavnog-suda</w:t>
        </w:r>
      </w:hyperlink>
    </w:p>
  </w:footnote>
  <w:footnote w:id="2">
    <w:p w:rsidR="006A5A4A" w:rsidRDefault="006A5A4A" w:rsidP="00A23142">
      <w:pPr>
        <w:pStyle w:val="FootnoteText"/>
        <w:jc w:val="both"/>
      </w:pPr>
      <w:r w:rsidRPr="001729F2">
        <w:rPr>
          <w:rStyle w:val="FootnoteReference"/>
          <w:rFonts w:ascii="Arial" w:hAnsi="Arial" w:cs="Arial"/>
          <w:sz w:val="18"/>
          <w:szCs w:val="18"/>
        </w:rPr>
        <w:footnoteRef/>
      </w:r>
      <w:r w:rsidRPr="001729F2">
        <w:rPr>
          <w:rFonts w:ascii="Arial" w:hAnsi="Arial" w:cs="Arial"/>
          <w:sz w:val="18"/>
          <w:szCs w:val="18"/>
        </w:rPr>
        <w:t xml:space="preserve"> </w:t>
      </w:r>
      <w:proofErr w:type="spellStart"/>
      <w:proofErr w:type="gramStart"/>
      <w:r w:rsidRPr="001729F2">
        <w:rPr>
          <w:rFonts w:ascii="Arial" w:hAnsi="Arial" w:cs="Arial"/>
          <w:sz w:val="18"/>
          <w:szCs w:val="18"/>
        </w:rPr>
        <w:t>Ustav</w:t>
      </w:r>
      <w:proofErr w:type="spellEnd"/>
      <w:r w:rsidRPr="001729F2">
        <w:rPr>
          <w:rFonts w:ascii="Arial" w:hAnsi="Arial" w:cs="Arial"/>
          <w:sz w:val="18"/>
          <w:szCs w:val="18"/>
        </w:rPr>
        <w:t xml:space="preserve"> </w:t>
      </w:r>
      <w:proofErr w:type="spellStart"/>
      <w:r w:rsidRPr="001729F2">
        <w:rPr>
          <w:rFonts w:ascii="Arial" w:hAnsi="Arial" w:cs="Arial"/>
          <w:sz w:val="18"/>
          <w:szCs w:val="18"/>
        </w:rPr>
        <w:t>Republike</w:t>
      </w:r>
      <w:proofErr w:type="spellEnd"/>
      <w:r w:rsidRPr="001729F2">
        <w:rPr>
          <w:rFonts w:ascii="Arial" w:hAnsi="Arial" w:cs="Arial"/>
          <w:sz w:val="18"/>
          <w:szCs w:val="18"/>
        </w:rPr>
        <w:t xml:space="preserve"> </w:t>
      </w:r>
      <w:proofErr w:type="spellStart"/>
      <w:r w:rsidRPr="001729F2">
        <w:rPr>
          <w:rFonts w:ascii="Arial" w:hAnsi="Arial" w:cs="Arial"/>
          <w:sz w:val="18"/>
          <w:szCs w:val="18"/>
        </w:rPr>
        <w:t>Srbije</w:t>
      </w:r>
      <w:proofErr w:type="spellEnd"/>
      <w:r w:rsidRPr="001729F2">
        <w:rPr>
          <w:rFonts w:ascii="Arial" w:hAnsi="Arial" w:cs="Arial"/>
          <w:sz w:val="18"/>
          <w:szCs w:val="18"/>
        </w:rPr>
        <w:t xml:space="preserve"> ("</w:t>
      </w:r>
      <w:proofErr w:type="spellStart"/>
      <w:r w:rsidRPr="001729F2">
        <w:rPr>
          <w:rFonts w:ascii="Arial" w:hAnsi="Arial" w:cs="Arial"/>
          <w:sz w:val="18"/>
          <w:szCs w:val="18"/>
        </w:rPr>
        <w:t>Službeni</w:t>
      </w:r>
      <w:proofErr w:type="spellEnd"/>
      <w:r w:rsidRPr="001729F2">
        <w:rPr>
          <w:rFonts w:ascii="Arial" w:hAnsi="Arial" w:cs="Arial"/>
          <w:sz w:val="18"/>
          <w:szCs w:val="18"/>
        </w:rPr>
        <w:t xml:space="preserve"> </w:t>
      </w:r>
      <w:proofErr w:type="spellStart"/>
      <w:r w:rsidRPr="001729F2">
        <w:rPr>
          <w:rFonts w:ascii="Arial" w:hAnsi="Arial" w:cs="Arial"/>
          <w:sz w:val="18"/>
          <w:szCs w:val="18"/>
        </w:rPr>
        <w:t>glasnik</w:t>
      </w:r>
      <w:proofErr w:type="spellEnd"/>
      <w:r w:rsidRPr="001729F2">
        <w:rPr>
          <w:rFonts w:ascii="Arial" w:hAnsi="Arial" w:cs="Arial"/>
          <w:sz w:val="18"/>
          <w:szCs w:val="18"/>
        </w:rPr>
        <w:t xml:space="preserve"> RS", br. 98/06), </w:t>
      </w:r>
      <w:proofErr w:type="spellStart"/>
      <w:r w:rsidRPr="001729F2">
        <w:rPr>
          <w:rFonts w:ascii="Arial" w:hAnsi="Arial" w:cs="Arial"/>
          <w:sz w:val="18"/>
          <w:szCs w:val="18"/>
        </w:rPr>
        <w:t>član</w:t>
      </w:r>
      <w:proofErr w:type="spellEnd"/>
      <w:r w:rsidRPr="001729F2">
        <w:rPr>
          <w:rFonts w:ascii="Arial" w:hAnsi="Arial" w:cs="Arial"/>
          <w:sz w:val="18"/>
          <w:szCs w:val="18"/>
        </w:rPr>
        <w:t xml:space="preserve"> 16.</w:t>
      </w:r>
      <w:proofErr w:type="gramEnd"/>
    </w:p>
  </w:footnote>
  <w:footnote w:id="3">
    <w:p w:rsidR="006A5A4A" w:rsidRDefault="006A5A4A" w:rsidP="00A23142">
      <w:pPr>
        <w:pStyle w:val="FootnoteText"/>
        <w:jc w:val="both"/>
      </w:pPr>
      <w:r w:rsidRPr="001729F2">
        <w:rPr>
          <w:rStyle w:val="FootnoteReference"/>
          <w:rFonts w:ascii="Arial" w:hAnsi="Arial" w:cs="Arial"/>
          <w:sz w:val="18"/>
          <w:szCs w:val="18"/>
        </w:rPr>
        <w:footnoteRef/>
      </w:r>
      <w:r w:rsidRPr="001729F2">
        <w:rPr>
          <w:rFonts w:ascii="Arial" w:hAnsi="Arial" w:cs="Arial"/>
          <w:sz w:val="18"/>
          <w:szCs w:val="18"/>
        </w:rPr>
        <w:t xml:space="preserve"> </w:t>
      </w:r>
      <w:r w:rsidRPr="001729F2">
        <w:rPr>
          <w:rFonts w:ascii="Arial" w:hAnsi="Arial" w:cs="Arial"/>
          <w:sz w:val="18"/>
          <w:szCs w:val="18"/>
          <w:lang w:val="sr-Latn-CS"/>
        </w:rPr>
        <w:t>Evropska Konvencija za zaštitu ljudskih prava i osnovnih sloboda, član 10; Međunarodni pakt o građanskim i političkim pravima</w:t>
      </w:r>
      <w:r>
        <w:rPr>
          <w:rFonts w:ascii="Arial" w:hAnsi="Arial" w:cs="Arial"/>
          <w:sz w:val="18"/>
          <w:szCs w:val="18"/>
          <w:lang w:val="sr-Latn-CS"/>
        </w:rPr>
        <w:t>, član 29</w:t>
      </w:r>
      <w:r w:rsidRPr="001729F2">
        <w:rPr>
          <w:rFonts w:ascii="Arial" w:hAnsi="Arial" w:cs="Arial"/>
          <w:sz w:val="18"/>
          <w:szCs w:val="18"/>
          <w:lang w:val="sr-Latn-CS"/>
        </w:rPr>
        <w:t xml:space="preserve">; </w:t>
      </w:r>
      <w:r w:rsidRPr="001729F2">
        <w:rPr>
          <w:rFonts w:ascii="Arial" w:hAnsi="Arial" w:cs="Arial"/>
          <w:sz w:val="18"/>
          <w:szCs w:val="18"/>
        </w:rPr>
        <w:t>“</w:t>
      </w:r>
      <w:proofErr w:type="spellStart"/>
      <w:r w:rsidRPr="001729F2">
        <w:rPr>
          <w:rFonts w:ascii="Arial" w:hAnsi="Arial" w:cs="Arial"/>
          <w:sz w:val="18"/>
          <w:szCs w:val="18"/>
        </w:rPr>
        <w:t>Covington&amp;Burling”LLP</w:t>
      </w:r>
      <w:proofErr w:type="spellEnd"/>
      <w:r w:rsidRPr="001729F2">
        <w:rPr>
          <w:rFonts w:ascii="Arial" w:hAnsi="Arial" w:cs="Arial"/>
          <w:sz w:val="18"/>
          <w:szCs w:val="18"/>
        </w:rPr>
        <w:t xml:space="preserve">,  Kurt </w:t>
      </w:r>
      <w:proofErr w:type="spellStart"/>
      <w:r w:rsidRPr="001729F2">
        <w:rPr>
          <w:rFonts w:ascii="Arial" w:hAnsi="Arial" w:cs="Arial"/>
          <w:sz w:val="18"/>
          <w:szCs w:val="18"/>
        </w:rPr>
        <w:t>Wimmer</w:t>
      </w:r>
      <w:proofErr w:type="spellEnd"/>
      <w:r w:rsidRPr="001729F2">
        <w:rPr>
          <w:rFonts w:ascii="Arial" w:hAnsi="Arial" w:cs="Arial"/>
          <w:sz w:val="18"/>
          <w:szCs w:val="18"/>
        </w:rPr>
        <w:t xml:space="preserve"> I Sarah </w:t>
      </w:r>
      <w:proofErr w:type="spellStart"/>
      <w:r w:rsidRPr="001729F2">
        <w:rPr>
          <w:rFonts w:ascii="Arial" w:hAnsi="Arial" w:cs="Arial"/>
          <w:sz w:val="18"/>
          <w:szCs w:val="18"/>
        </w:rPr>
        <w:t>Chasnovitz</w:t>
      </w:r>
      <w:proofErr w:type="spellEnd"/>
      <w:r w:rsidRPr="001729F2">
        <w:rPr>
          <w:rFonts w:ascii="Arial" w:hAnsi="Arial" w:cs="Arial"/>
          <w:sz w:val="18"/>
          <w:szCs w:val="18"/>
        </w:rPr>
        <w:t xml:space="preserve"> -</w:t>
      </w:r>
      <w:r w:rsidRPr="001729F2">
        <w:rPr>
          <w:rFonts w:ascii="Arial" w:hAnsi="Arial" w:cs="Arial"/>
          <w:sz w:val="18"/>
          <w:szCs w:val="18"/>
          <w:lang w:val="pl-PL"/>
        </w:rPr>
        <w:t xml:space="preserve"> Predmet: </w:t>
      </w:r>
      <w:r w:rsidRPr="001729F2">
        <w:rPr>
          <w:rFonts w:ascii="Arial" w:hAnsi="Arial" w:cs="Arial"/>
          <w:i/>
          <w:sz w:val="18"/>
          <w:szCs w:val="18"/>
          <w:lang w:val="pl-PL"/>
        </w:rPr>
        <w:t>Izmene i dopune Zakona o javnom informisanju Republike Srbije iz 2009</w:t>
      </w:r>
      <w:r w:rsidRPr="001729F2">
        <w:rPr>
          <w:rFonts w:ascii="Arial" w:hAnsi="Arial" w:cs="Arial"/>
          <w:sz w:val="18"/>
          <w:szCs w:val="18"/>
          <w:lang w:val="pl-PL"/>
        </w:rPr>
        <w:t>, strana 3.</w:t>
      </w:r>
    </w:p>
  </w:footnote>
  <w:footnote w:id="4">
    <w:p w:rsidR="006A5A4A" w:rsidRDefault="006A5A4A" w:rsidP="00A23142">
      <w:pPr>
        <w:pStyle w:val="FootnoteText"/>
        <w:jc w:val="both"/>
      </w:pPr>
      <w:r w:rsidRPr="001729F2">
        <w:rPr>
          <w:rStyle w:val="FootnoteReference"/>
          <w:rFonts w:ascii="Arial" w:hAnsi="Arial" w:cs="Arial"/>
          <w:sz w:val="18"/>
          <w:szCs w:val="18"/>
        </w:rPr>
        <w:footnoteRef/>
      </w:r>
      <w:r w:rsidRPr="001729F2">
        <w:rPr>
          <w:rFonts w:ascii="Arial" w:hAnsi="Arial" w:cs="Arial"/>
          <w:sz w:val="18"/>
          <w:szCs w:val="18"/>
        </w:rPr>
        <w:t xml:space="preserve"> </w:t>
      </w:r>
      <w:r w:rsidRPr="001729F2">
        <w:rPr>
          <w:rFonts w:ascii="Arial" w:hAnsi="Arial" w:cs="Arial"/>
          <w:sz w:val="18"/>
          <w:szCs w:val="18"/>
          <w:lang w:val="sr-Latn-CS"/>
        </w:rPr>
        <w:t xml:space="preserve"> </w:t>
      </w:r>
      <w:r w:rsidRPr="001729F2">
        <w:rPr>
          <w:rFonts w:ascii="Arial" w:hAnsi="Arial" w:cs="Arial"/>
          <w:sz w:val="18"/>
          <w:szCs w:val="18"/>
          <w:lang w:val="sr-Latn-CS"/>
        </w:rPr>
        <w:t>Evropska Konvencija za zaštitu ljudskih prava i osnovnih sloboda, član 10 stav 2.</w:t>
      </w:r>
    </w:p>
  </w:footnote>
  <w:footnote w:id="5">
    <w:p w:rsidR="006A5A4A" w:rsidRDefault="006A5A4A" w:rsidP="00A23142">
      <w:pPr>
        <w:pStyle w:val="FootnoteText"/>
        <w:jc w:val="both"/>
      </w:pPr>
      <w:r w:rsidRPr="001729F2">
        <w:rPr>
          <w:rStyle w:val="FootnoteReference"/>
          <w:rFonts w:ascii="Arial" w:hAnsi="Arial" w:cs="Arial"/>
          <w:sz w:val="18"/>
          <w:szCs w:val="18"/>
        </w:rPr>
        <w:footnoteRef/>
      </w:r>
      <w:r w:rsidRPr="001729F2">
        <w:rPr>
          <w:rFonts w:ascii="Arial" w:hAnsi="Arial" w:cs="Arial"/>
          <w:sz w:val="18"/>
          <w:szCs w:val="18"/>
          <w:lang w:val="sr-Latn-CS"/>
        </w:rPr>
        <w:t xml:space="preserve"> </w:t>
      </w:r>
      <w:proofErr w:type="spellStart"/>
      <w:proofErr w:type="gramStart"/>
      <w:r w:rsidRPr="001729F2">
        <w:rPr>
          <w:rFonts w:ascii="Arial" w:hAnsi="Arial" w:cs="Arial"/>
          <w:sz w:val="18"/>
          <w:szCs w:val="18"/>
        </w:rPr>
        <w:t>Ustav</w:t>
      </w:r>
      <w:proofErr w:type="spellEnd"/>
      <w:r w:rsidRPr="001729F2">
        <w:rPr>
          <w:rFonts w:ascii="Arial" w:hAnsi="Arial" w:cs="Arial"/>
          <w:sz w:val="18"/>
          <w:szCs w:val="18"/>
        </w:rPr>
        <w:t xml:space="preserve"> </w:t>
      </w:r>
      <w:proofErr w:type="spellStart"/>
      <w:r w:rsidRPr="001729F2">
        <w:rPr>
          <w:rFonts w:ascii="Arial" w:hAnsi="Arial" w:cs="Arial"/>
          <w:sz w:val="18"/>
          <w:szCs w:val="18"/>
        </w:rPr>
        <w:t>Republike</w:t>
      </w:r>
      <w:proofErr w:type="spellEnd"/>
      <w:r w:rsidRPr="001729F2">
        <w:rPr>
          <w:rFonts w:ascii="Arial" w:hAnsi="Arial" w:cs="Arial"/>
          <w:sz w:val="18"/>
          <w:szCs w:val="18"/>
        </w:rPr>
        <w:t xml:space="preserve"> </w:t>
      </w:r>
      <w:proofErr w:type="spellStart"/>
      <w:r w:rsidRPr="001729F2">
        <w:rPr>
          <w:rFonts w:ascii="Arial" w:hAnsi="Arial" w:cs="Arial"/>
          <w:sz w:val="18"/>
          <w:szCs w:val="18"/>
        </w:rPr>
        <w:t>Srbije</w:t>
      </w:r>
      <w:proofErr w:type="spellEnd"/>
      <w:r w:rsidRPr="001729F2">
        <w:rPr>
          <w:rFonts w:ascii="Arial" w:hAnsi="Arial" w:cs="Arial"/>
          <w:sz w:val="18"/>
          <w:szCs w:val="18"/>
        </w:rPr>
        <w:t xml:space="preserve"> ("</w:t>
      </w:r>
      <w:proofErr w:type="spellStart"/>
      <w:r w:rsidRPr="001729F2">
        <w:rPr>
          <w:rFonts w:ascii="Arial" w:hAnsi="Arial" w:cs="Arial"/>
          <w:sz w:val="18"/>
          <w:szCs w:val="18"/>
        </w:rPr>
        <w:t>Službeni</w:t>
      </w:r>
      <w:proofErr w:type="spellEnd"/>
      <w:r w:rsidRPr="001729F2">
        <w:rPr>
          <w:rFonts w:ascii="Arial" w:hAnsi="Arial" w:cs="Arial"/>
          <w:sz w:val="18"/>
          <w:szCs w:val="18"/>
        </w:rPr>
        <w:t xml:space="preserve"> </w:t>
      </w:r>
      <w:proofErr w:type="spellStart"/>
      <w:r w:rsidRPr="001729F2">
        <w:rPr>
          <w:rFonts w:ascii="Arial" w:hAnsi="Arial" w:cs="Arial"/>
          <w:sz w:val="18"/>
          <w:szCs w:val="18"/>
        </w:rPr>
        <w:t>glasnik</w:t>
      </w:r>
      <w:proofErr w:type="spellEnd"/>
      <w:r w:rsidRPr="001729F2">
        <w:rPr>
          <w:rFonts w:ascii="Arial" w:hAnsi="Arial" w:cs="Arial"/>
          <w:sz w:val="18"/>
          <w:szCs w:val="18"/>
        </w:rPr>
        <w:t xml:space="preserve"> RS", br. 98/06)</w:t>
      </w:r>
      <w:r w:rsidRPr="001729F2">
        <w:rPr>
          <w:rFonts w:ascii="Arial" w:hAnsi="Arial" w:cs="Arial"/>
          <w:sz w:val="18"/>
          <w:szCs w:val="18"/>
          <w:lang w:val="sr-Latn-CS"/>
        </w:rPr>
        <w:t>, član 46 stav 2, a slična ograničenja su predviđena i u članu 50 stav 3.</w:t>
      </w:r>
      <w:proofErr w:type="gramEnd"/>
    </w:p>
  </w:footnote>
  <w:footnote w:id="6">
    <w:p w:rsidR="006A5A4A" w:rsidRDefault="006A5A4A" w:rsidP="00A23142">
      <w:pPr>
        <w:pStyle w:val="FootnoteText"/>
        <w:jc w:val="both"/>
      </w:pPr>
      <w:r w:rsidRPr="001729F2">
        <w:rPr>
          <w:rStyle w:val="FootnoteReference"/>
          <w:rFonts w:ascii="Arial" w:hAnsi="Arial" w:cs="Arial"/>
          <w:sz w:val="18"/>
          <w:szCs w:val="18"/>
        </w:rPr>
        <w:footnoteRef/>
      </w:r>
      <w:r w:rsidRPr="001729F2">
        <w:rPr>
          <w:rFonts w:ascii="Arial" w:hAnsi="Arial" w:cs="Arial"/>
          <w:sz w:val="18"/>
          <w:szCs w:val="18"/>
        </w:rPr>
        <w:t xml:space="preserve"> “</w:t>
      </w:r>
      <w:proofErr w:type="spellStart"/>
      <w:r w:rsidRPr="001729F2">
        <w:rPr>
          <w:rFonts w:ascii="Arial" w:hAnsi="Arial" w:cs="Arial"/>
          <w:sz w:val="18"/>
          <w:szCs w:val="18"/>
        </w:rPr>
        <w:t>Covington&amp;Burling”LLP</w:t>
      </w:r>
      <w:proofErr w:type="spellEnd"/>
      <w:r w:rsidRPr="001729F2">
        <w:rPr>
          <w:rFonts w:ascii="Arial" w:hAnsi="Arial" w:cs="Arial"/>
          <w:sz w:val="18"/>
          <w:szCs w:val="18"/>
        </w:rPr>
        <w:t xml:space="preserve">, </w:t>
      </w:r>
      <w:proofErr w:type="spellStart"/>
      <w:r w:rsidRPr="001729F2">
        <w:rPr>
          <w:rFonts w:ascii="Arial" w:hAnsi="Arial" w:cs="Arial"/>
          <w:i/>
          <w:sz w:val="18"/>
          <w:szCs w:val="18"/>
        </w:rPr>
        <w:t>isto</w:t>
      </w:r>
      <w:proofErr w:type="spellEnd"/>
      <w:proofErr w:type="gramStart"/>
      <w:r w:rsidRPr="001729F2">
        <w:rPr>
          <w:rFonts w:ascii="Arial" w:hAnsi="Arial" w:cs="Arial"/>
          <w:i/>
          <w:sz w:val="18"/>
          <w:szCs w:val="18"/>
        </w:rPr>
        <w:t>,</w:t>
      </w:r>
      <w:r w:rsidRPr="001729F2">
        <w:rPr>
          <w:rFonts w:ascii="Arial" w:hAnsi="Arial" w:cs="Arial"/>
          <w:sz w:val="18"/>
          <w:szCs w:val="18"/>
        </w:rPr>
        <w:t xml:space="preserve"> </w:t>
      </w:r>
      <w:r w:rsidRPr="001729F2">
        <w:rPr>
          <w:rFonts w:ascii="Arial" w:hAnsi="Arial" w:cs="Arial"/>
          <w:sz w:val="18"/>
          <w:szCs w:val="18"/>
          <w:lang w:val="pl-PL"/>
        </w:rPr>
        <w:t xml:space="preserve"> strana</w:t>
      </w:r>
      <w:proofErr w:type="gramEnd"/>
      <w:r w:rsidRPr="001729F2">
        <w:rPr>
          <w:rFonts w:ascii="Arial" w:hAnsi="Arial" w:cs="Arial"/>
          <w:sz w:val="18"/>
          <w:szCs w:val="18"/>
          <w:lang w:val="pl-PL"/>
        </w:rPr>
        <w:t xml:space="preserve"> 3.</w:t>
      </w:r>
    </w:p>
  </w:footnote>
  <w:footnote w:id="7">
    <w:p w:rsidR="006A5A4A" w:rsidRDefault="006A5A4A" w:rsidP="00A23142">
      <w:pPr>
        <w:pStyle w:val="FootnoteText"/>
        <w:jc w:val="both"/>
      </w:pPr>
      <w:r w:rsidRPr="001729F2">
        <w:rPr>
          <w:rStyle w:val="FootnoteReference"/>
          <w:rFonts w:ascii="Arial" w:hAnsi="Arial" w:cs="Arial"/>
          <w:sz w:val="18"/>
          <w:szCs w:val="18"/>
        </w:rPr>
        <w:footnoteRef/>
      </w:r>
      <w:r w:rsidRPr="002B2479">
        <w:rPr>
          <w:rFonts w:ascii="Arial" w:hAnsi="Arial" w:cs="Arial"/>
          <w:sz w:val="18"/>
          <w:szCs w:val="18"/>
          <w:lang w:val="pt-BR"/>
        </w:rPr>
        <w:t xml:space="preserve"> </w:t>
      </w:r>
      <w:r w:rsidRPr="001729F2">
        <w:rPr>
          <w:rFonts w:ascii="Arial" w:hAnsi="Arial" w:cs="Arial"/>
          <w:sz w:val="18"/>
          <w:szCs w:val="18"/>
          <w:lang w:val="pl-PL"/>
        </w:rPr>
        <w:t xml:space="preserve">Izmene </w:t>
      </w:r>
      <w:r w:rsidRPr="001729F2">
        <w:rPr>
          <w:rFonts w:ascii="Arial" w:hAnsi="Arial" w:cs="Arial"/>
          <w:sz w:val="18"/>
          <w:szCs w:val="18"/>
          <w:lang w:val="pl-PL"/>
        </w:rPr>
        <w:t>i dopune Zakona o javnom informisanju</w:t>
      </w:r>
      <w:r w:rsidRPr="001729F2">
        <w:rPr>
          <w:rFonts w:ascii="Arial" w:hAnsi="Arial" w:cs="Arial"/>
          <w:sz w:val="18"/>
          <w:szCs w:val="18"/>
          <w:lang w:val="sr-Latn-CS"/>
        </w:rPr>
        <w:t xml:space="preserve"> („Službeni glasnik RS“ broj 71/09), član 1.</w:t>
      </w:r>
    </w:p>
  </w:footnote>
  <w:footnote w:id="8">
    <w:p w:rsidR="006A5A4A" w:rsidRDefault="006A5A4A" w:rsidP="00A23142">
      <w:pPr>
        <w:pStyle w:val="FootnoteText"/>
        <w:jc w:val="both"/>
      </w:pPr>
      <w:r w:rsidRPr="001729F2">
        <w:rPr>
          <w:rStyle w:val="FootnoteReference"/>
          <w:rFonts w:ascii="Arial" w:hAnsi="Arial" w:cs="Arial"/>
          <w:sz w:val="18"/>
          <w:szCs w:val="18"/>
        </w:rPr>
        <w:footnoteRef/>
      </w:r>
      <w:r w:rsidRPr="002B2479">
        <w:rPr>
          <w:rFonts w:ascii="Arial" w:hAnsi="Arial" w:cs="Arial"/>
          <w:sz w:val="18"/>
          <w:szCs w:val="18"/>
          <w:lang w:val="pt-BR"/>
        </w:rPr>
        <w:t xml:space="preserve"> </w:t>
      </w:r>
      <w:r w:rsidRPr="001729F2">
        <w:rPr>
          <w:rFonts w:ascii="Arial" w:hAnsi="Arial" w:cs="Arial"/>
          <w:sz w:val="18"/>
          <w:szCs w:val="18"/>
          <w:lang w:val="pl-PL"/>
        </w:rPr>
        <w:t>Izmene i dopune Zakona o javnom informisanju</w:t>
      </w:r>
      <w:r w:rsidRPr="001729F2">
        <w:rPr>
          <w:rFonts w:ascii="Arial" w:hAnsi="Arial" w:cs="Arial"/>
          <w:sz w:val="18"/>
          <w:szCs w:val="18"/>
          <w:lang w:val="sr-Latn-CS"/>
        </w:rPr>
        <w:t xml:space="preserve"> („Službeni glasnik RS“ broj 71/09), član 14a, stav 5,6,7.</w:t>
      </w:r>
    </w:p>
  </w:footnote>
  <w:footnote w:id="9">
    <w:p w:rsidR="006A5A4A" w:rsidRPr="001729F2" w:rsidRDefault="006A5A4A" w:rsidP="00A23142">
      <w:pPr>
        <w:pStyle w:val="FootnoteText"/>
        <w:jc w:val="both"/>
        <w:rPr>
          <w:rFonts w:ascii="Arial" w:hAnsi="Arial" w:cs="Arial"/>
          <w:sz w:val="18"/>
          <w:szCs w:val="18"/>
          <w:lang w:val="sr-Latn-CS"/>
        </w:rPr>
      </w:pPr>
      <w:r w:rsidRPr="001729F2">
        <w:rPr>
          <w:rStyle w:val="FootnoteReference"/>
          <w:rFonts w:ascii="Arial" w:hAnsi="Arial" w:cs="Arial"/>
          <w:sz w:val="18"/>
          <w:szCs w:val="18"/>
        </w:rPr>
        <w:footnoteRef/>
      </w:r>
      <w:r w:rsidRPr="002B2479">
        <w:rPr>
          <w:rFonts w:ascii="Arial" w:hAnsi="Arial" w:cs="Arial"/>
          <w:sz w:val="18"/>
          <w:szCs w:val="18"/>
          <w:lang w:val="pt-BR"/>
        </w:rPr>
        <w:t xml:space="preserve"> </w:t>
      </w:r>
      <w:r w:rsidRPr="001729F2">
        <w:rPr>
          <w:rFonts w:ascii="Arial" w:hAnsi="Arial" w:cs="Arial"/>
          <w:sz w:val="18"/>
          <w:szCs w:val="18"/>
          <w:lang w:val="pl-PL"/>
        </w:rPr>
        <w:t>Izmene i dopune Zakona o javnom informisanju</w:t>
      </w:r>
      <w:r w:rsidRPr="001729F2">
        <w:rPr>
          <w:rFonts w:ascii="Arial" w:hAnsi="Arial" w:cs="Arial"/>
          <w:sz w:val="18"/>
          <w:szCs w:val="18"/>
          <w:lang w:val="sr-Latn-CS"/>
        </w:rPr>
        <w:t xml:space="preserve"> („Službeni glasnik RS“ broj 71/09), član 4, 5,6.</w:t>
      </w:r>
    </w:p>
    <w:p w:rsidR="006A5A4A" w:rsidRDefault="006A5A4A" w:rsidP="00A23142">
      <w:pPr>
        <w:pStyle w:val="FootnoteText"/>
        <w:jc w:val="both"/>
      </w:pPr>
    </w:p>
  </w:footnote>
  <w:footnote w:id="10">
    <w:p w:rsidR="006A5A4A" w:rsidRDefault="006A5A4A" w:rsidP="00A23142">
      <w:pPr>
        <w:pStyle w:val="FootnoteText"/>
        <w:jc w:val="both"/>
      </w:pPr>
      <w:r w:rsidRPr="001729F2">
        <w:rPr>
          <w:rStyle w:val="FootnoteReference"/>
          <w:rFonts w:ascii="Arial" w:hAnsi="Arial" w:cs="Arial"/>
          <w:sz w:val="18"/>
          <w:szCs w:val="18"/>
        </w:rPr>
        <w:footnoteRef/>
      </w:r>
      <w:r w:rsidRPr="001729F2">
        <w:rPr>
          <w:rFonts w:ascii="Arial" w:hAnsi="Arial" w:cs="Arial"/>
          <w:sz w:val="18"/>
          <w:szCs w:val="18"/>
          <w:lang w:val="sr-Latn-CS"/>
        </w:rPr>
        <w:t xml:space="preserve">Evropska </w:t>
      </w:r>
      <w:r w:rsidRPr="001729F2">
        <w:rPr>
          <w:rFonts w:ascii="Arial" w:hAnsi="Arial" w:cs="Arial"/>
          <w:sz w:val="18"/>
          <w:szCs w:val="18"/>
          <w:lang w:val="sr-Latn-CS"/>
        </w:rPr>
        <w:t>Konvencija za zaštitu ljudskih prava i osnovnih sloboda</w:t>
      </w:r>
      <w:r w:rsidRPr="002B2479">
        <w:rPr>
          <w:rFonts w:ascii="Arial" w:hAnsi="Arial" w:cs="Arial"/>
          <w:sz w:val="18"/>
          <w:szCs w:val="18"/>
          <w:lang w:val="pt-BR"/>
        </w:rPr>
        <w:t xml:space="preserve">, član </w:t>
      </w:r>
      <w:r w:rsidRPr="001729F2">
        <w:rPr>
          <w:rFonts w:ascii="Arial" w:hAnsi="Arial" w:cs="Arial"/>
          <w:sz w:val="18"/>
          <w:szCs w:val="18"/>
          <w:lang w:val="sr-Latn-CS"/>
        </w:rPr>
        <w:t>14.</w:t>
      </w:r>
    </w:p>
  </w:footnote>
  <w:footnote w:id="11">
    <w:p w:rsidR="006A5A4A" w:rsidRDefault="006A5A4A" w:rsidP="00A23142">
      <w:pPr>
        <w:spacing w:after="0" w:line="240" w:lineRule="auto"/>
        <w:ind w:left="11" w:hanging="11"/>
        <w:jc w:val="both"/>
        <w:rPr>
          <w:rFonts w:ascii="Arial" w:hAnsi="Arial" w:cs="Arial"/>
          <w:sz w:val="18"/>
          <w:szCs w:val="18"/>
        </w:rPr>
      </w:pPr>
      <w:r w:rsidRPr="001729F2">
        <w:rPr>
          <w:rStyle w:val="FootnoteReference"/>
          <w:rFonts w:ascii="Arial" w:hAnsi="Arial" w:cs="Arial"/>
          <w:sz w:val="18"/>
          <w:szCs w:val="18"/>
        </w:rPr>
        <w:footnoteRef/>
      </w:r>
      <w:r w:rsidRPr="001729F2">
        <w:rPr>
          <w:rFonts w:ascii="Arial" w:hAnsi="Arial" w:cs="Arial"/>
          <w:i/>
          <w:iCs/>
          <w:sz w:val="18"/>
          <w:szCs w:val="18"/>
        </w:rPr>
        <w:t>Media Rights Agenda and Others v. </w:t>
      </w:r>
      <w:smartTag w:uri="urn:schemas-microsoft-com:office:smarttags" w:element="place">
        <w:smartTag w:uri="urn:schemas-microsoft-com:office:smarttags" w:element="country-region">
          <w:r w:rsidRPr="001729F2">
            <w:rPr>
              <w:rFonts w:ascii="Arial" w:hAnsi="Arial" w:cs="Arial"/>
              <w:i/>
              <w:iCs/>
              <w:sz w:val="18"/>
              <w:szCs w:val="18"/>
            </w:rPr>
            <w:t>Nigeria</w:t>
          </w:r>
        </w:smartTag>
      </w:smartTag>
      <w:r w:rsidRPr="001729F2">
        <w:rPr>
          <w:rFonts w:ascii="Arial" w:hAnsi="Arial" w:cs="Arial"/>
          <w:sz w:val="18"/>
          <w:szCs w:val="18"/>
        </w:rPr>
        <w:t xml:space="preserve"> (2000) AHRLR </w:t>
      </w:r>
      <w:r>
        <w:rPr>
          <w:rFonts w:ascii="Arial" w:hAnsi="Arial" w:cs="Arial"/>
          <w:sz w:val="18"/>
          <w:szCs w:val="18"/>
        </w:rPr>
        <w:t xml:space="preserve">200 (ACHPR 1998), § 5, </w:t>
      </w:r>
      <w:proofErr w:type="spellStart"/>
      <w:r>
        <w:rPr>
          <w:rFonts w:ascii="Arial" w:hAnsi="Arial" w:cs="Arial"/>
          <w:sz w:val="18"/>
          <w:szCs w:val="18"/>
        </w:rPr>
        <w:t>strana</w:t>
      </w:r>
      <w:proofErr w:type="spellEnd"/>
      <w:r w:rsidRPr="001729F2">
        <w:rPr>
          <w:rFonts w:ascii="Arial" w:hAnsi="Arial" w:cs="Arial"/>
          <w:sz w:val="18"/>
          <w:szCs w:val="18"/>
        </w:rPr>
        <w:t>. 57</w:t>
      </w:r>
      <w:r>
        <w:rPr>
          <w:rFonts w:ascii="Arial" w:hAnsi="Arial" w:cs="Arial"/>
          <w:sz w:val="18"/>
          <w:szCs w:val="18"/>
        </w:rPr>
        <w:t xml:space="preserve"> </w:t>
      </w:r>
      <w:hyperlink r:id="rId2" w:history="1">
        <w:r w:rsidRPr="00D574B4">
          <w:rPr>
            <w:rStyle w:val="Hyperlink"/>
            <w:lang w:val="en-GB"/>
          </w:rPr>
          <w:t>http://www1.umn.edu/humanrts/africa/comcases/105-93_128-94_130-94_152-96.html</w:t>
        </w:r>
      </w:hyperlink>
      <w:r w:rsidRPr="001729F2">
        <w:rPr>
          <w:rFonts w:ascii="Arial" w:hAnsi="Arial" w:cs="Arial"/>
          <w:sz w:val="18"/>
          <w:szCs w:val="18"/>
        </w:rPr>
        <w:t>;</w:t>
      </w:r>
    </w:p>
    <w:p w:rsidR="006A5A4A" w:rsidRDefault="006A5A4A" w:rsidP="003175CE">
      <w:pPr>
        <w:spacing w:after="0" w:line="240" w:lineRule="auto"/>
        <w:ind w:left="11" w:hanging="11"/>
        <w:jc w:val="both"/>
        <w:rPr>
          <w:rFonts w:ascii="Arial" w:hAnsi="Arial" w:cs="Arial"/>
          <w:sz w:val="18"/>
          <w:szCs w:val="18"/>
        </w:rPr>
      </w:pPr>
      <w:r w:rsidRPr="001729F2">
        <w:rPr>
          <w:rFonts w:ascii="Arial" w:hAnsi="Arial" w:cs="Arial"/>
          <w:i/>
          <w:iCs/>
          <w:sz w:val="18"/>
          <w:szCs w:val="18"/>
        </w:rPr>
        <w:t xml:space="preserve"> </w:t>
      </w:r>
      <w:r w:rsidRPr="00AA2890">
        <w:rPr>
          <w:rFonts w:ascii="Arial" w:hAnsi="Arial" w:cs="Arial"/>
          <w:bCs/>
          <w:iCs/>
          <w:sz w:val="18"/>
          <w:szCs w:val="18"/>
        </w:rPr>
        <w:t xml:space="preserve">Human Rights </w:t>
      </w:r>
      <w:proofErr w:type="spellStart"/>
      <w:r>
        <w:rPr>
          <w:rFonts w:ascii="Arial" w:hAnsi="Arial" w:cs="Arial"/>
          <w:bCs/>
          <w:iCs/>
          <w:sz w:val="18"/>
          <w:szCs w:val="18"/>
        </w:rPr>
        <w:t>Committee</w:t>
      </w:r>
      <w:r w:rsidRPr="00AA2890">
        <w:rPr>
          <w:rFonts w:ascii="Arial" w:hAnsi="Arial" w:cs="Arial"/>
          <w:bCs/>
          <w:iCs/>
          <w:sz w:val="18"/>
          <w:szCs w:val="18"/>
        </w:rPr>
        <w:t>e</w:t>
      </w:r>
      <w:proofErr w:type="spellEnd"/>
      <w:r>
        <w:rPr>
          <w:rFonts w:ascii="Arial" w:hAnsi="Arial" w:cs="Arial"/>
          <w:bCs/>
          <w:iCs/>
          <w:sz w:val="18"/>
          <w:szCs w:val="18"/>
        </w:rPr>
        <w:t xml:space="preserve">, </w:t>
      </w:r>
      <w:r w:rsidRPr="00AA2890">
        <w:rPr>
          <w:rFonts w:ascii="Arial" w:hAnsi="Arial" w:cs="Arial"/>
          <w:iCs/>
          <w:sz w:val="18"/>
          <w:szCs w:val="18"/>
        </w:rPr>
        <w:t xml:space="preserve">Concluding Observations on </w:t>
      </w:r>
      <w:smartTag w:uri="urn:schemas-microsoft-com:office:smarttags" w:element="place">
        <w:smartTag w:uri="urn:schemas-microsoft-com:office:smarttags" w:element="country-region">
          <w:r w:rsidRPr="00AA2890">
            <w:rPr>
              <w:rFonts w:ascii="Arial" w:hAnsi="Arial" w:cs="Arial"/>
              <w:iCs/>
              <w:sz w:val="18"/>
              <w:szCs w:val="18"/>
            </w:rPr>
            <w:t>Lesotho</w:t>
          </w:r>
        </w:smartTag>
      </w:smartTag>
      <w:r w:rsidRPr="00AA2890">
        <w:rPr>
          <w:rFonts w:ascii="Arial" w:hAnsi="Arial" w:cs="Arial"/>
          <w:iCs/>
          <w:sz w:val="18"/>
          <w:szCs w:val="18"/>
        </w:rPr>
        <w:t>’s Initial Report</w:t>
      </w:r>
      <w:r w:rsidRPr="001729F2">
        <w:rPr>
          <w:rFonts w:ascii="Arial" w:hAnsi="Arial" w:cs="Arial"/>
          <w:sz w:val="18"/>
          <w:szCs w:val="18"/>
        </w:rPr>
        <w:t>, 8 April 1999, CCPR/C/79/Add.106, § 23</w:t>
      </w:r>
      <w:r>
        <w:rPr>
          <w:rFonts w:ascii="Arial" w:hAnsi="Arial" w:cs="Arial"/>
          <w:sz w:val="18"/>
          <w:szCs w:val="18"/>
        </w:rPr>
        <w:t xml:space="preserve">  </w:t>
      </w:r>
      <w:hyperlink r:id="rId3" w:history="1">
        <w:r w:rsidRPr="00D574B4">
          <w:rPr>
            <w:rStyle w:val="Hyperlink"/>
            <w:lang w:val="en-GB"/>
          </w:rPr>
          <w:t>http://www.unhchr.ch/tbs/doc.nsf/(Symbol)/CCPR.C.79.Add.106.En?Opendocument</w:t>
        </w:r>
      </w:hyperlink>
      <w:r w:rsidRPr="001729F2">
        <w:rPr>
          <w:rFonts w:ascii="Arial" w:hAnsi="Arial" w:cs="Arial"/>
          <w:sz w:val="18"/>
          <w:szCs w:val="18"/>
        </w:rPr>
        <w:t>;</w:t>
      </w:r>
    </w:p>
    <w:p w:rsidR="006A5A4A" w:rsidRDefault="006A5A4A" w:rsidP="00A23142">
      <w:pPr>
        <w:spacing w:after="0" w:line="240" w:lineRule="auto"/>
        <w:ind w:left="11" w:hanging="11"/>
        <w:jc w:val="both"/>
      </w:pPr>
      <w:r w:rsidRPr="001729F2">
        <w:rPr>
          <w:rFonts w:ascii="Arial" w:hAnsi="Arial" w:cs="Arial"/>
          <w:i/>
          <w:iCs/>
          <w:sz w:val="18"/>
          <w:szCs w:val="18"/>
        </w:rPr>
        <w:t xml:space="preserve"> </w:t>
      </w:r>
      <w:proofErr w:type="gramStart"/>
      <w:r w:rsidRPr="003175CE">
        <w:rPr>
          <w:rFonts w:ascii="Arial" w:hAnsi="Arial" w:cs="Arial"/>
          <w:iCs/>
          <w:sz w:val="18"/>
          <w:szCs w:val="18"/>
        </w:rPr>
        <w:t>ARTICLE 19, (Global Campaign For Free Expression and the Open Society Institute Justice)</w:t>
      </w:r>
      <w:r>
        <w:rPr>
          <w:rFonts w:ascii="Arial" w:hAnsi="Arial" w:cs="Arial"/>
          <w:iCs/>
          <w:sz w:val="18"/>
          <w:szCs w:val="18"/>
        </w:rPr>
        <w:t>, Written Comments Submitted in regard of</w:t>
      </w:r>
      <w:r w:rsidRPr="003175CE">
        <w:rPr>
          <w:rFonts w:ascii="Arial" w:hAnsi="Arial" w:cs="Arial"/>
          <w:iCs/>
          <w:sz w:val="18"/>
          <w:szCs w:val="18"/>
        </w:rPr>
        <w:t xml:space="preserve"> Initiative regarding the National Media Commission Act of Gambia</w:t>
      </w:r>
      <w:r w:rsidRPr="001729F2">
        <w:rPr>
          <w:rFonts w:ascii="Arial" w:hAnsi="Arial" w:cs="Arial"/>
          <w:sz w:val="18"/>
          <w:szCs w:val="18"/>
        </w:rPr>
        <w:t xml:space="preserve">, 2002, </w:t>
      </w:r>
      <w:proofErr w:type="spellStart"/>
      <w:r w:rsidRPr="001729F2">
        <w:rPr>
          <w:rFonts w:ascii="Arial" w:hAnsi="Arial" w:cs="Arial"/>
          <w:sz w:val="18"/>
          <w:szCs w:val="18"/>
        </w:rPr>
        <w:t>strana</w:t>
      </w:r>
      <w:proofErr w:type="spellEnd"/>
      <w:r w:rsidRPr="001729F2">
        <w:rPr>
          <w:rFonts w:ascii="Arial" w:hAnsi="Arial" w:cs="Arial"/>
          <w:sz w:val="18"/>
          <w:szCs w:val="18"/>
        </w:rPr>
        <w:t xml:space="preserve"> 29.</w:t>
      </w:r>
      <w:proofErr w:type="gramEnd"/>
      <w:r w:rsidRPr="00A23142">
        <w:t xml:space="preserve"> </w:t>
      </w:r>
      <w:hyperlink r:id="rId4" w:history="1">
        <w:r w:rsidRPr="00D574B4">
          <w:rPr>
            <w:rStyle w:val="Hyperlink"/>
            <w:sz w:val="24"/>
            <w:szCs w:val="24"/>
            <w:lang w:val="en-GB"/>
          </w:rPr>
          <w:t>http://www.article19.org/pdfs/cases/gambia-comments-on-media-commission-act.pdf</w:t>
        </w:r>
      </w:hyperlink>
    </w:p>
  </w:footnote>
  <w:footnote w:id="12">
    <w:p w:rsidR="006A5A4A" w:rsidRDefault="006A5A4A" w:rsidP="00A23142">
      <w:pPr>
        <w:pStyle w:val="FootnoteText"/>
        <w:jc w:val="both"/>
      </w:pPr>
      <w:r w:rsidRPr="001729F2">
        <w:rPr>
          <w:rStyle w:val="FootnoteReference"/>
          <w:rFonts w:ascii="Arial" w:hAnsi="Arial" w:cs="Arial"/>
          <w:sz w:val="18"/>
          <w:szCs w:val="18"/>
        </w:rPr>
        <w:footnoteRef/>
      </w:r>
      <w:r w:rsidRPr="001729F2">
        <w:rPr>
          <w:rFonts w:ascii="Arial" w:hAnsi="Arial" w:cs="Arial"/>
          <w:sz w:val="18"/>
          <w:szCs w:val="18"/>
        </w:rPr>
        <w:t xml:space="preserve"> </w:t>
      </w:r>
      <w:r w:rsidRPr="001729F2">
        <w:rPr>
          <w:rFonts w:ascii="Arial" w:hAnsi="Arial" w:cs="Arial"/>
          <w:sz w:val="18"/>
          <w:szCs w:val="18"/>
          <w:lang w:val="pl-PL"/>
        </w:rPr>
        <w:t>Izmene i dopune Zakona o javnom informisanju</w:t>
      </w:r>
      <w:r w:rsidRPr="001729F2">
        <w:rPr>
          <w:rFonts w:ascii="Arial" w:hAnsi="Arial" w:cs="Arial"/>
          <w:sz w:val="18"/>
          <w:szCs w:val="18"/>
          <w:lang w:val="sr-Latn-CS"/>
        </w:rPr>
        <w:t xml:space="preserve"> („Službeni glasnik RS“ broj 71/09), član 14a stav 5,6.</w:t>
      </w:r>
    </w:p>
  </w:footnote>
  <w:footnote w:id="13">
    <w:p w:rsidR="006A5A4A" w:rsidRDefault="006A5A4A" w:rsidP="00A23142">
      <w:pPr>
        <w:pStyle w:val="FootnoteText"/>
        <w:jc w:val="both"/>
      </w:pPr>
      <w:r w:rsidRPr="001729F2">
        <w:rPr>
          <w:rStyle w:val="FootnoteReference"/>
          <w:rFonts w:ascii="Arial" w:hAnsi="Arial" w:cs="Arial"/>
          <w:sz w:val="18"/>
          <w:szCs w:val="18"/>
        </w:rPr>
        <w:footnoteRef/>
      </w:r>
      <w:r w:rsidRPr="001729F2">
        <w:rPr>
          <w:rFonts w:ascii="Arial" w:hAnsi="Arial" w:cs="Arial"/>
          <w:sz w:val="18"/>
          <w:szCs w:val="18"/>
        </w:rPr>
        <w:t xml:space="preserve"> </w:t>
      </w:r>
      <w:proofErr w:type="spellStart"/>
      <w:proofErr w:type="gramStart"/>
      <w:r w:rsidRPr="001729F2">
        <w:rPr>
          <w:rFonts w:ascii="Arial" w:hAnsi="Arial" w:cs="Arial"/>
          <w:sz w:val="18"/>
          <w:szCs w:val="18"/>
        </w:rPr>
        <w:t>Ustav</w:t>
      </w:r>
      <w:proofErr w:type="spellEnd"/>
      <w:r w:rsidRPr="001729F2">
        <w:rPr>
          <w:rFonts w:ascii="Arial" w:hAnsi="Arial" w:cs="Arial"/>
          <w:sz w:val="18"/>
          <w:szCs w:val="18"/>
        </w:rPr>
        <w:t xml:space="preserve"> </w:t>
      </w:r>
      <w:proofErr w:type="spellStart"/>
      <w:r w:rsidRPr="001729F2">
        <w:rPr>
          <w:rFonts w:ascii="Arial" w:hAnsi="Arial" w:cs="Arial"/>
          <w:sz w:val="18"/>
          <w:szCs w:val="18"/>
        </w:rPr>
        <w:t>Republike</w:t>
      </w:r>
      <w:proofErr w:type="spellEnd"/>
      <w:r w:rsidRPr="001729F2">
        <w:rPr>
          <w:rFonts w:ascii="Arial" w:hAnsi="Arial" w:cs="Arial"/>
          <w:sz w:val="18"/>
          <w:szCs w:val="18"/>
        </w:rPr>
        <w:t xml:space="preserve"> </w:t>
      </w:r>
      <w:proofErr w:type="spellStart"/>
      <w:r w:rsidRPr="001729F2">
        <w:rPr>
          <w:rFonts w:ascii="Arial" w:hAnsi="Arial" w:cs="Arial"/>
          <w:sz w:val="18"/>
          <w:szCs w:val="18"/>
        </w:rPr>
        <w:t>Srbije</w:t>
      </w:r>
      <w:proofErr w:type="spellEnd"/>
      <w:r w:rsidRPr="001729F2">
        <w:rPr>
          <w:rFonts w:ascii="Arial" w:hAnsi="Arial" w:cs="Arial"/>
          <w:sz w:val="18"/>
          <w:szCs w:val="18"/>
        </w:rPr>
        <w:t xml:space="preserve"> ("</w:t>
      </w:r>
      <w:proofErr w:type="spellStart"/>
      <w:r w:rsidRPr="001729F2">
        <w:rPr>
          <w:rFonts w:ascii="Arial" w:hAnsi="Arial" w:cs="Arial"/>
          <w:sz w:val="18"/>
          <w:szCs w:val="18"/>
        </w:rPr>
        <w:t>Službeni</w:t>
      </w:r>
      <w:proofErr w:type="spellEnd"/>
      <w:r w:rsidRPr="001729F2">
        <w:rPr>
          <w:rFonts w:ascii="Arial" w:hAnsi="Arial" w:cs="Arial"/>
          <w:sz w:val="18"/>
          <w:szCs w:val="18"/>
        </w:rPr>
        <w:t xml:space="preserve"> </w:t>
      </w:r>
      <w:proofErr w:type="spellStart"/>
      <w:r w:rsidRPr="001729F2">
        <w:rPr>
          <w:rFonts w:ascii="Arial" w:hAnsi="Arial" w:cs="Arial"/>
          <w:sz w:val="18"/>
          <w:szCs w:val="18"/>
        </w:rPr>
        <w:t>glasnik</w:t>
      </w:r>
      <w:proofErr w:type="spellEnd"/>
      <w:r w:rsidRPr="001729F2">
        <w:rPr>
          <w:rFonts w:ascii="Arial" w:hAnsi="Arial" w:cs="Arial"/>
          <w:sz w:val="18"/>
          <w:szCs w:val="18"/>
        </w:rPr>
        <w:t xml:space="preserve"> RS", br. 98/06), </w:t>
      </w:r>
      <w:proofErr w:type="spellStart"/>
      <w:r w:rsidRPr="001729F2">
        <w:rPr>
          <w:rFonts w:ascii="Arial" w:hAnsi="Arial" w:cs="Arial"/>
          <w:sz w:val="18"/>
          <w:szCs w:val="18"/>
        </w:rPr>
        <w:t>članovi</w:t>
      </w:r>
      <w:proofErr w:type="spellEnd"/>
      <w:r w:rsidRPr="001729F2">
        <w:rPr>
          <w:rFonts w:ascii="Arial" w:hAnsi="Arial" w:cs="Arial"/>
          <w:sz w:val="18"/>
          <w:szCs w:val="18"/>
        </w:rPr>
        <w:t xml:space="preserve"> 4, 142 </w:t>
      </w:r>
      <w:proofErr w:type="spellStart"/>
      <w:r w:rsidRPr="001729F2">
        <w:rPr>
          <w:rFonts w:ascii="Arial" w:hAnsi="Arial" w:cs="Arial"/>
          <w:sz w:val="18"/>
          <w:szCs w:val="18"/>
        </w:rPr>
        <w:t>i</w:t>
      </w:r>
      <w:proofErr w:type="spellEnd"/>
      <w:r w:rsidRPr="001729F2">
        <w:rPr>
          <w:rFonts w:ascii="Arial" w:hAnsi="Arial" w:cs="Arial"/>
          <w:sz w:val="18"/>
          <w:szCs w:val="18"/>
        </w:rPr>
        <w:t xml:space="preserve"> 156.</w:t>
      </w:r>
      <w:proofErr w:type="gramEnd"/>
    </w:p>
  </w:footnote>
  <w:footnote w:id="14">
    <w:p w:rsidR="006A5A4A" w:rsidRDefault="006A5A4A" w:rsidP="00A23142">
      <w:pPr>
        <w:pStyle w:val="FootnoteText"/>
        <w:jc w:val="both"/>
      </w:pPr>
      <w:r w:rsidRPr="001729F2">
        <w:rPr>
          <w:rStyle w:val="FootnoteReference"/>
          <w:rFonts w:ascii="Arial" w:hAnsi="Arial" w:cs="Arial"/>
          <w:sz w:val="18"/>
          <w:szCs w:val="18"/>
        </w:rPr>
        <w:footnoteRef/>
      </w:r>
      <w:r w:rsidRPr="001729F2">
        <w:rPr>
          <w:rFonts w:ascii="Arial" w:hAnsi="Arial" w:cs="Arial"/>
          <w:sz w:val="18"/>
          <w:szCs w:val="18"/>
        </w:rPr>
        <w:t xml:space="preserve"> “</w:t>
      </w:r>
      <w:proofErr w:type="spellStart"/>
      <w:r w:rsidRPr="001729F2">
        <w:rPr>
          <w:rFonts w:ascii="Arial" w:hAnsi="Arial" w:cs="Arial"/>
          <w:sz w:val="18"/>
          <w:szCs w:val="18"/>
        </w:rPr>
        <w:t>Covington&amp;Burling”LLP</w:t>
      </w:r>
      <w:proofErr w:type="spellEnd"/>
      <w:r w:rsidRPr="001729F2">
        <w:rPr>
          <w:rFonts w:ascii="Arial" w:hAnsi="Arial" w:cs="Arial"/>
          <w:sz w:val="18"/>
          <w:szCs w:val="18"/>
        </w:rPr>
        <w:t xml:space="preserve">, </w:t>
      </w:r>
      <w:proofErr w:type="spellStart"/>
      <w:r w:rsidRPr="001729F2">
        <w:rPr>
          <w:rFonts w:ascii="Arial" w:hAnsi="Arial" w:cs="Arial"/>
          <w:i/>
          <w:sz w:val="18"/>
          <w:szCs w:val="18"/>
        </w:rPr>
        <w:t>isto</w:t>
      </w:r>
      <w:proofErr w:type="spellEnd"/>
      <w:r w:rsidRPr="001729F2">
        <w:rPr>
          <w:rFonts w:ascii="Arial" w:hAnsi="Arial" w:cs="Arial"/>
          <w:i/>
          <w:sz w:val="18"/>
          <w:szCs w:val="18"/>
        </w:rPr>
        <w:t>,</w:t>
      </w:r>
      <w:r w:rsidRPr="001729F2">
        <w:rPr>
          <w:rFonts w:ascii="Arial" w:hAnsi="Arial" w:cs="Arial"/>
          <w:sz w:val="18"/>
          <w:szCs w:val="18"/>
        </w:rPr>
        <w:t xml:space="preserve"> </w:t>
      </w:r>
      <w:r w:rsidRPr="001729F2">
        <w:rPr>
          <w:rFonts w:ascii="Arial" w:hAnsi="Arial" w:cs="Arial"/>
          <w:sz w:val="18"/>
          <w:szCs w:val="18"/>
          <w:lang w:val="pl-PL"/>
        </w:rPr>
        <w:t>strana 4</w:t>
      </w:r>
      <w:proofErr w:type="gramStart"/>
      <w:r w:rsidRPr="001729F2">
        <w:rPr>
          <w:rFonts w:ascii="Arial" w:hAnsi="Arial" w:cs="Arial"/>
          <w:sz w:val="18"/>
          <w:szCs w:val="18"/>
          <w:lang w:val="pl-PL"/>
        </w:rPr>
        <w:t>,5</w:t>
      </w:r>
      <w:proofErr w:type="gramEnd"/>
      <w:r w:rsidRPr="001729F2">
        <w:rPr>
          <w:rFonts w:ascii="Arial" w:hAnsi="Arial" w:cs="Arial"/>
          <w:sz w:val="18"/>
          <w:szCs w:val="18"/>
          <w:lang w:val="pl-PL"/>
        </w:rPr>
        <w:t>.</w:t>
      </w:r>
    </w:p>
  </w:footnote>
  <w:footnote w:id="15">
    <w:p w:rsidR="006A5A4A" w:rsidRDefault="006A5A4A" w:rsidP="00A23142">
      <w:pPr>
        <w:pStyle w:val="FootnoteText"/>
        <w:jc w:val="both"/>
      </w:pPr>
      <w:r w:rsidRPr="001729F2">
        <w:rPr>
          <w:rStyle w:val="FootnoteReference"/>
          <w:rFonts w:ascii="Arial" w:hAnsi="Arial" w:cs="Arial"/>
          <w:sz w:val="18"/>
          <w:szCs w:val="18"/>
        </w:rPr>
        <w:footnoteRef/>
      </w:r>
      <w:r w:rsidRPr="002B2479">
        <w:rPr>
          <w:rFonts w:ascii="Arial" w:hAnsi="Arial" w:cs="Arial"/>
          <w:sz w:val="18"/>
          <w:szCs w:val="18"/>
          <w:lang w:val="pt-BR"/>
        </w:rPr>
        <w:t xml:space="preserve"> </w:t>
      </w:r>
      <w:r w:rsidRPr="002B2479">
        <w:rPr>
          <w:rFonts w:ascii="Arial" w:hAnsi="Arial" w:cs="Arial"/>
          <w:sz w:val="18"/>
          <w:szCs w:val="18"/>
          <w:lang w:val="pt-BR"/>
        </w:rPr>
        <w:t xml:space="preserve">Zakon o privrednim prestupima </w:t>
      </w:r>
      <w:r w:rsidRPr="001729F2">
        <w:rPr>
          <w:rFonts w:ascii="Arial" w:hAnsi="Arial" w:cs="Arial"/>
          <w:sz w:val="18"/>
          <w:szCs w:val="18"/>
          <w:lang w:val="sr-Latn-CS"/>
        </w:rPr>
        <w:t xml:space="preserve">(„Službeni glasnik SFRJ“ broj </w:t>
      </w:r>
      <w:r w:rsidRPr="002B2479">
        <w:rPr>
          <w:rFonts w:ascii="Arial" w:hAnsi="Arial" w:cs="Arial"/>
          <w:color w:val="000000"/>
          <w:sz w:val="18"/>
          <w:szCs w:val="18"/>
          <w:lang w:val="pt-BR"/>
        </w:rPr>
        <w:t>. 4/77, 36/77, 14/85, 10/86, 74/87, 57/89, 3/90;</w:t>
      </w:r>
      <w:r w:rsidRPr="001729F2">
        <w:rPr>
          <w:rFonts w:ascii="Arial" w:hAnsi="Arial" w:cs="Arial"/>
          <w:sz w:val="18"/>
          <w:szCs w:val="18"/>
          <w:lang w:val="sr-Latn-CS"/>
        </w:rPr>
        <w:t xml:space="preserve"> „Službeni glasnik SRJ“ broj </w:t>
      </w:r>
      <w:r w:rsidRPr="002B2479">
        <w:rPr>
          <w:rFonts w:ascii="Arial" w:hAnsi="Arial" w:cs="Arial"/>
          <w:color w:val="000000"/>
          <w:sz w:val="18"/>
          <w:szCs w:val="18"/>
          <w:lang w:val="pt-BR"/>
        </w:rPr>
        <w:t xml:space="preserve">. 27/92, 16/93, 31/93, 41/93, 50/93, 24/94, 28/96,  64/2001;  </w:t>
      </w:r>
      <w:r w:rsidRPr="001729F2">
        <w:rPr>
          <w:rFonts w:ascii="Arial" w:hAnsi="Arial" w:cs="Arial"/>
          <w:sz w:val="18"/>
          <w:szCs w:val="18"/>
          <w:lang w:val="sr-Latn-CS"/>
        </w:rPr>
        <w:t xml:space="preserve">„Službeni glasnik RS“ broj. </w:t>
      </w:r>
      <w:proofErr w:type="gramStart"/>
      <w:r w:rsidRPr="001729F2">
        <w:rPr>
          <w:rFonts w:ascii="Arial" w:hAnsi="Arial" w:cs="Arial"/>
          <w:color w:val="000000"/>
          <w:sz w:val="18"/>
          <w:szCs w:val="18"/>
        </w:rPr>
        <w:t>101/2005</w:t>
      </w:r>
      <w:r w:rsidRPr="001729F2">
        <w:rPr>
          <w:rFonts w:ascii="Arial" w:hAnsi="Arial" w:cs="Arial"/>
          <w:sz w:val="18"/>
          <w:szCs w:val="18"/>
          <w:lang w:val="sr-Latn-CS"/>
        </w:rPr>
        <w:t>)</w:t>
      </w:r>
      <w:r w:rsidRPr="001729F2">
        <w:rPr>
          <w:rFonts w:ascii="Arial" w:hAnsi="Arial" w:cs="Arial"/>
          <w:color w:val="000000"/>
          <w:sz w:val="18"/>
          <w:szCs w:val="18"/>
        </w:rPr>
        <w:t xml:space="preserve">, </w:t>
      </w:r>
      <w:proofErr w:type="spellStart"/>
      <w:r w:rsidRPr="001729F2">
        <w:rPr>
          <w:rFonts w:ascii="Arial" w:hAnsi="Arial" w:cs="Arial"/>
          <w:color w:val="000000"/>
          <w:sz w:val="18"/>
          <w:szCs w:val="18"/>
        </w:rPr>
        <w:t>član</w:t>
      </w:r>
      <w:proofErr w:type="spellEnd"/>
      <w:r w:rsidRPr="001729F2">
        <w:rPr>
          <w:rFonts w:ascii="Arial" w:hAnsi="Arial" w:cs="Arial"/>
          <w:color w:val="000000"/>
          <w:sz w:val="18"/>
          <w:szCs w:val="18"/>
        </w:rPr>
        <w:t xml:space="preserve"> 29.</w:t>
      </w:r>
      <w:proofErr w:type="gramEnd"/>
      <w:r w:rsidRPr="001729F2">
        <w:rPr>
          <w:rFonts w:ascii="Arial" w:hAnsi="Arial" w:cs="Arial"/>
          <w:color w:val="000000"/>
          <w:sz w:val="18"/>
          <w:szCs w:val="18"/>
        </w:rPr>
        <w:t xml:space="preserve"> </w:t>
      </w:r>
      <w:proofErr w:type="spellStart"/>
      <w:proofErr w:type="gramStart"/>
      <w:r w:rsidRPr="001729F2">
        <w:rPr>
          <w:rFonts w:ascii="Arial" w:hAnsi="Arial" w:cs="Arial"/>
          <w:color w:val="000000"/>
          <w:sz w:val="18"/>
          <w:szCs w:val="18"/>
        </w:rPr>
        <w:t>stav</w:t>
      </w:r>
      <w:proofErr w:type="spellEnd"/>
      <w:proofErr w:type="gramEnd"/>
      <w:r w:rsidRPr="001729F2">
        <w:rPr>
          <w:rFonts w:ascii="Arial" w:hAnsi="Arial" w:cs="Arial"/>
          <w:color w:val="000000"/>
          <w:sz w:val="18"/>
          <w:szCs w:val="18"/>
        </w:rPr>
        <w:t xml:space="preserve"> 2.</w:t>
      </w:r>
    </w:p>
  </w:footnote>
  <w:footnote w:id="16">
    <w:p w:rsidR="006A5A4A" w:rsidRDefault="006A5A4A" w:rsidP="00A23142">
      <w:pPr>
        <w:pStyle w:val="FootnoteText"/>
        <w:jc w:val="both"/>
      </w:pPr>
      <w:r w:rsidRPr="001729F2">
        <w:rPr>
          <w:rStyle w:val="FootnoteReference"/>
          <w:rFonts w:ascii="Arial" w:hAnsi="Arial" w:cs="Arial"/>
          <w:sz w:val="18"/>
          <w:szCs w:val="18"/>
        </w:rPr>
        <w:footnoteRef/>
      </w:r>
      <w:r w:rsidRPr="001729F2">
        <w:rPr>
          <w:rFonts w:ascii="Arial" w:hAnsi="Arial" w:cs="Arial"/>
          <w:sz w:val="18"/>
          <w:szCs w:val="18"/>
        </w:rPr>
        <w:t xml:space="preserve"> “</w:t>
      </w:r>
      <w:proofErr w:type="spellStart"/>
      <w:r w:rsidRPr="001729F2">
        <w:rPr>
          <w:rFonts w:ascii="Arial" w:hAnsi="Arial" w:cs="Arial"/>
          <w:sz w:val="18"/>
          <w:szCs w:val="18"/>
        </w:rPr>
        <w:t>Covington&amp;Burling”LLP</w:t>
      </w:r>
      <w:proofErr w:type="spellEnd"/>
      <w:proofErr w:type="gramStart"/>
      <w:r w:rsidRPr="001729F2">
        <w:rPr>
          <w:rFonts w:ascii="Arial" w:hAnsi="Arial" w:cs="Arial"/>
          <w:sz w:val="18"/>
          <w:szCs w:val="18"/>
        </w:rPr>
        <w:t xml:space="preserve">, </w:t>
      </w:r>
      <w:r w:rsidRPr="001729F2">
        <w:rPr>
          <w:rFonts w:ascii="Arial" w:hAnsi="Arial" w:cs="Arial"/>
          <w:i/>
          <w:sz w:val="18"/>
          <w:szCs w:val="18"/>
        </w:rPr>
        <w:t xml:space="preserve"> </w:t>
      </w:r>
      <w:proofErr w:type="spellStart"/>
      <w:r w:rsidRPr="001729F2">
        <w:rPr>
          <w:rFonts w:ascii="Arial" w:hAnsi="Arial" w:cs="Arial"/>
          <w:i/>
          <w:sz w:val="18"/>
          <w:szCs w:val="18"/>
        </w:rPr>
        <w:t>isto</w:t>
      </w:r>
      <w:proofErr w:type="spellEnd"/>
      <w:proofErr w:type="gramEnd"/>
      <w:r w:rsidRPr="001729F2">
        <w:rPr>
          <w:rFonts w:ascii="Arial" w:hAnsi="Arial" w:cs="Arial"/>
          <w:sz w:val="18"/>
          <w:szCs w:val="18"/>
        </w:rPr>
        <w:t xml:space="preserve">, </w:t>
      </w:r>
      <w:r w:rsidRPr="001729F2">
        <w:rPr>
          <w:rFonts w:ascii="Arial" w:hAnsi="Arial" w:cs="Arial"/>
          <w:sz w:val="18"/>
          <w:szCs w:val="18"/>
          <w:lang w:val="pl-PL"/>
        </w:rPr>
        <w:t>strana 6</w:t>
      </w:r>
      <w:r w:rsidRPr="001729F2">
        <w:rPr>
          <w:rFonts w:ascii="Arial" w:hAnsi="Arial" w:cs="Arial"/>
          <w:sz w:val="18"/>
          <w:szCs w:val="18"/>
          <w:lang w:val="it-IT"/>
        </w:rPr>
        <w:t>.</w:t>
      </w:r>
    </w:p>
  </w:footnote>
  <w:footnote w:id="17">
    <w:p w:rsidR="006A5A4A" w:rsidRDefault="006A5A4A" w:rsidP="00A23142">
      <w:pPr>
        <w:pStyle w:val="FootnoteText"/>
        <w:jc w:val="both"/>
      </w:pPr>
      <w:r w:rsidRPr="001729F2">
        <w:rPr>
          <w:rStyle w:val="FootnoteReference"/>
          <w:rFonts w:ascii="Arial" w:hAnsi="Arial" w:cs="Arial"/>
          <w:sz w:val="18"/>
          <w:szCs w:val="18"/>
        </w:rPr>
        <w:footnoteRef/>
      </w:r>
      <w:r w:rsidRPr="001729F2">
        <w:rPr>
          <w:rFonts w:ascii="Arial" w:hAnsi="Arial" w:cs="Arial"/>
          <w:sz w:val="18"/>
          <w:szCs w:val="18"/>
        </w:rPr>
        <w:t xml:space="preserve"> </w:t>
      </w:r>
      <w:r w:rsidRPr="001729F2">
        <w:rPr>
          <w:rFonts w:ascii="Arial" w:hAnsi="Arial" w:cs="Arial"/>
          <w:i/>
          <w:sz w:val="18"/>
          <w:szCs w:val="18"/>
        </w:rPr>
        <w:t xml:space="preserve">Tolstoy </w:t>
      </w:r>
      <w:proofErr w:type="spellStart"/>
      <w:r w:rsidRPr="001729F2">
        <w:rPr>
          <w:rFonts w:ascii="Arial" w:hAnsi="Arial" w:cs="Arial"/>
          <w:i/>
          <w:iCs/>
          <w:sz w:val="18"/>
          <w:szCs w:val="18"/>
        </w:rPr>
        <w:t>Miloslavsky</w:t>
      </w:r>
      <w:proofErr w:type="spellEnd"/>
      <w:r w:rsidRPr="001729F2">
        <w:rPr>
          <w:rFonts w:ascii="Arial" w:hAnsi="Arial" w:cs="Arial"/>
          <w:i/>
          <w:iCs/>
          <w:sz w:val="18"/>
          <w:szCs w:val="18"/>
        </w:rPr>
        <w:t xml:space="preserve"> v. United Kingdom</w:t>
      </w:r>
      <w:r w:rsidRPr="001729F2">
        <w:rPr>
          <w:rFonts w:ascii="Arial" w:hAnsi="Arial" w:cs="Arial"/>
          <w:sz w:val="18"/>
          <w:szCs w:val="18"/>
        </w:rPr>
        <w:t xml:space="preserve">, 13 July 1995, (App. no 18139/91) ECHR 13 July 1995; </w:t>
      </w:r>
      <w:r w:rsidRPr="001729F2">
        <w:rPr>
          <w:rFonts w:ascii="Arial" w:hAnsi="Arial" w:cs="Arial"/>
          <w:i/>
          <w:iCs/>
          <w:sz w:val="18"/>
          <w:szCs w:val="18"/>
          <w:lang w:val="it-IT"/>
        </w:rPr>
        <w:t>Karhuvaara and other v. Finland</w:t>
      </w:r>
      <w:r w:rsidRPr="001729F2">
        <w:rPr>
          <w:rFonts w:ascii="Arial" w:hAnsi="Arial" w:cs="Arial"/>
          <w:sz w:val="18"/>
          <w:szCs w:val="18"/>
          <w:lang w:val="it-IT"/>
        </w:rPr>
        <w:t xml:space="preserve"> </w:t>
      </w:r>
      <w:proofErr w:type="gramStart"/>
      <w:r w:rsidRPr="001729F2">
        <w:rPr>
          <w:rFonts w:ascii="Arial" w:hAnsi="Arial" w:cs="Arial"/>
          <w:sz w:val="18"/>
          <w:szCs w:val="18"/>
          <w:lang w:val="it-IT"/>
        </w:rPr>
        <w:t>( App</w:t>
      </w:r>
      <w:proofErr w:type="gramEnd"/>
      <w:r w:rsidRPr="001729F2">
        <w:rPr>
          <w:rFonts w:ascii="Arial" w:hAnsi="Arial" w:cs="Arial"/>
          <w:sz w:val="18"/>
          <w:szCs w:val="18"/>
          <w:lang w:val="it-IT"/>
        </w:rPr>
        <w:t>. no 53678/00)</w:t>
      </w:r>
      <w:r w:rsidRPr="001729F2">
        <w:rPr>
          <w:rFonts w:ascii="Arial" w:hAnsi="Arial" w:cs="Arial"/>
          <w:i/>
          <w:iCs/>
          <w:sz w:val="18"/>
          <w:szCs w:val="18"/>
          <w:lang w:val="it-IT"/>
        </w:rPr>
        <w:t xml:space="preserve"> </w:t>
      </w:r>
      <w:r w:rsidRPr="001729F2">
        <w:rPr>
          <w:rFonts w:ascii="Arial" w:hAnsi="Arial" w:cs="Arial"/>
          <w:sz w:val="18"/>
          <w:szCs w:val="18"/>
          <w:lang w:val="it-IT"/>
        </w:rPr>
        <w:t xml:space="preserve">ECHR 16 November 2004, </w:t>
      </w:r>
      <w:r w:rsidRPr="001729F2">
        <w:rPr>
          <w:rFonts w:ascii="Arial" w:hAnsi="Arial" w:cs="Arial"/>
          <w:sz w:val="18"/>
          <w:szCs w:val="18"/>
        </w:rPr>
        <w:t xml:space="preserve">§ </w:t>
      </w:r>
      <w:r w:rsidRPr="001729F2">
        <w:rPr>
          <w:rFonts w:ascii="Arial" w:hAnsi="Arial" w:cs="Arial"/>
          <w:sz w:val="18"/>
          <w:szCs w:val="18"/>
          <w:lang w:val="it-IT"/>
        </w:rPr>
        <w:t>37.</w:t>
      </w:r>
    </w:p>
  </w:footnote>
  <w:footnote w:id="18">
    <w:p w:rsidR="006A5A4A" w:rsidRDefault="006A5A4A" w:rsidP="00A23142">
      <w:pPr>
        <w:pStyle w:val="FootnoteText"/>
        <w:jc w:val="both"/>
      </w:pPr>
      <w:r w:rsidRPr="001729F2">
        <w:rPr>
          <w:rStyle w:val="FootnoteReference"/>
          <w:rFonts w:ascii="Arial" w:hAnsi="Arial" w:cs="Arial"/>
          <w:sz w:val="18"/>
          <w:szCs w:val="18"/>
        </w:rPr>
        <w:footnoteRef/>
      </w:r>
      <w:r w:rsidRPr="001729F2">
        <w:rPr>
          <w:rFonts w:ascii="Arial" w:hAnsi="Arial" w:cs="Arial"/>
          <w:sz w:val="18"/>
          <w:szCs w:val="18"/>
        </w:rPr>
        <w:t xml:space="preserve"> </w:t>
      </w:r>
      <w:hyperlink r:id="rId5" w:history="1">
        <w:r w:rsidRPr="001729F2">
          <w:rPr>
            <w:rStyle w:val="Hyperlink"/>
            <w:rFonts w:ascii="Arial" w:hAnsi="Arial" w:cs="Arial"/>
            <w:sz w:val="18"/>
            <w:szCs w:val="18"/>
          </w:rPr>
          <w:t>http://www.rtv.rs/sr_lat/drustvo/ustavni-sud-o-izmenama-zakona-o-informisanju_202124.html</w:t>
        </w:r>
      </w:hyperlink>
    </w:p>
  </w:footnote>
  <w:footnote w:id="19">
    <w:p w:rsidR="006A5A4A" w:rsidRDefault="006A5A4A" w:rsidP="00A23142">
      <w:pPr>
        <w:pStyle w:val="FootnoteText"/>
        <w:jc w:val="both"/>
      </w:pPr>
      <w:r w:rsidRPr="001729F2">
        <w:rPr>
          <w:rStyle w:val="FootnoteReference"/>
          <w:rFonts w:ascii="Arial" w:hAnsi="Arial" w:cs="Arial"/>
          <w:sz w:val="18"/>
          <w:szCs w:val="18"/>
        </w:rPr>
        <w:footnoteRef/>
      </w:r>
      <w:r w:rsidRPr="002B2479">
        <w:rPr>
          <w:rFonts w:ascii="Arial" w:hAnsi="Arial" w:cs="Arial"/>
          <w:sz w:val="18"/>
          <w:szCs w:val="18"/>
          <w:lang w:val="pt-BR"/>
        </w:rPr>
        <w:t xml:space="preserve"> </w:t>
      </w:r>
      <w:r w:rsidRPr="002B2479">
        <w:rPr>
          <w:rFonts w:ascii="Arial" w:hAnsi="Arial" w:cs="Arial"/>
          <w:sz w:val="18"/>
          <w:szCs w:val="18"/>
          <w:lang w:val="pt-BR"/>
        </w:rPr>
        <w:t>Saopštenje sa 31. Redovne sednice Ustavnog suda, fusnota br.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C39D1"/>
    <w:multiLevelType w:val="hybridMultilevel"/>
    <w:tmpl w:val="1BA28C98"/>
    <w:lvl w:ilvl="0" w:tplc="D28C04D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25A5"/>
    <w:rsid w:val="00014060"/>
    <w:rsid w:val="000242ED"/>
    <w:rsid w:val="00046DF7"/>
    <w:rsid w:val="00126734"/>
    <w:rsid w:val="00170DBE"/>
    <w:rsid w:val="001729F2"/>
    <w:rsid w:val="0017498B"/>
    <w:rsid w:val="00186C60"/>
    <w:rsid w:val="001873D5"/>
    <w:rsid w:val="0019003C"/>
    <w:rsid w:val="001A4B0B"/>
    <w:rsid w:val="001C5771"/>
    <w:rsid w:val="001E665B"/>
    <w:rsid w:val="001F43B9"/>
    <w:rsid w:val="00252D40"/>
    <w:rsid w:val="00256B5A"/>
    <w:rsid w:val="00296108"/>
    <w:rsid w:val="002B2479"/>
    <w:rsid w:val="002C62A7"/>
    <w:rsid w:val="002E260B"/>
    <w:rsid w:val="00301142"/>
    <w:rsid w:val="003175CE"/>
    <w:rsid w:val="003445B0"/>
    <w:rsid w:val="003A6DBF"/>
    <w:rsid w:val="003B4E19"/>
    <w:rsid w:val="00421423"/>
    <w:rsid w:val="00454D13"/>
    <w:rsid w:val="0048085B"/>
    <w:rsid w:val="00496C81"/>
    <w:rsid w:val="004A7E52"/>
    <w:rsid w:val="005225A5"/>
    <w:rsid w:val="0052563B"/>
    <w:rsid w:val="005710D8"/>
    <w:rsid w:val="0059273E"/>
    <w:rsid w:val="005C1C5E"/>
    <w:rsid w:val="005E5029"/>
    <w:rsid w:val="006135B2"/>
    <w:rsid w:val="00626BDB"/>
    <w:rsid w:val="006809A6"/>
    <w:rsid w:val="006A5A4A"/>
    <w:rsid w:val="006C1887"/>
    <w:rsid w:val="006C5AE5"/>
    <w:rsid w:val="006D4034"/>
    <w:rsid w:val="00701910"/>
    <w:rsid w:val="00746661"/>
    <w:rsid w:val="00746FB9"/>
    <w:rsid w:val="00773B68"/>
    <w:rsid w:val="00841446"/>
    <w:rsid w:val="00875D63"/>
    <w:rsid w:val="008A1936"/>
    <w:rsid w:val="008B29AB"/>
    <w:rsid w:val="008B33C8"/>
    <w:rsid w:val="009259BA"/>
    <w:rsid w:val="009722C0"/>
    <w:rsid w:val="009A20C4"/>
    <w:rsid w:val="009D7F29"/>
    <w:rsid w:val="00A1330C"/>
    <w:rsid w:val="00A23142"/>
    <w:rsid w:val="00A40B23"/>
    <w:rsid w:val="00A60105"/>
    <w:rsid w:val="00A77F40"/>
    <w:rsid w:val="00A82222"/>
    <w:rsid w:val="00AA2890"/>
    <w:rsid w:val="00AA6BFA"/>
    <w:rsid w:val="00AB1BAD"/>
    <w:rsid w:val="00AD54BE"/>
    <w:rsid w:val="00B225C7"/>
    <w:rsid w:val="00B22D65"/>
    <w:rsid w:val="00B3073D"/>
    <w:rsid w:val="00B407A1"/>
    <w:rsid w:val="00B410CB"/>
    <w:rsid w:val="00B55B0A"/>
    <w:rsid w:val="00B76923"/>
    <w:rsid w:val="00C22BDF"/>
    <w:rsid w:val="00C311F9"/>
    <w:rsid w:val="00C46364"/>
    <w:rsid w:val="00C72CF9"/>
    <w:rsid w:val="00CA6A3B"/>
    <w:rsid w:val="00CB54C7"/>
    <w:rsid w:val="00CC0D1F"/>
    <w:rsid w:val="00CC0E7A"/>
    <w:rsid w:val="00CD5600"/>
    <w:rsid w:val="00D022E9"/>
    <w:rsid w:val="00D0716F"/>
    <w:rsid w:val="00D12184"/>
    <w:rsid w:val="00D47FCD"/>
    <w:rsid w:val="00D574B4"/>
    <w:rsid w:val="00D607C1"/>
    <w:rsid w:val="00DD41E8"/>
    <w:rsid w:val="00E07A67"/>
    <w:rsid w:val="00E63666"/>
    <w:rsid w:val="00E8358C"/>
    <w:rsid w:val="00E918FA"/>
    <w:rsid w:val="00E92A18"/>
    <w:rsid w:val="00EB5FD0"/>
    <w:rsid w:val="00EC7BE5"/>
    <w:rsid w:val="00ED5E8B"/>
    <w:rsid w:val="00F67BD0"/>
    <w:rsid w:val="00F70368"/>
    <w:rsid w:val="00F73BF8"/>
    <w:rsid w:val="00F850E7"/>
    <w:rsid w:val="00FC638E"/>
    <w:rsid w:val="00FE0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CD"/>
    <w:pPr>
      <w:spacing w:after="200" w:line="276" w:lineRule="auto"/>
    </w:pPr>
  </w:style>
  <w:style w:type="paragraph" w:styleId="Heading1">
    <w:name w:val="heading 1"/>
    <w:basedOn w:val="Normal"/>
    <w:next w:val="Normal"/>
    <w:link w:val="Heading1Char"/>
    <w:uiPriority w:val="99"/>
    <w:qFormat/>
    <w:rsid w:val="0019003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003C"/>
    <w:rPr>
      <w:rFonts w:ascii="Cambria" w:hAnsi="Cambria" w:cs="Times New Roman"/>
      <w:b/>
      <w:bCs/>
      <w:color w:val="365F91"/>
      <w:sz w:val="28"/>
      <w:szCs w:val="28"/>
    </w:rPr>
  </w:style>
  <w:style w:type="paragraph" w:styleId="NormalWeb">
    <w:name w:val="Normal (Web)"/>
    <w:basedOn w:val="Normal"/>
    <w:uiPriority w:val="99"/>
    <w:semiHidden/>
    <w:rsid w:val="005225A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5225A5"/>
    <w:rPr>
      <w:rFonts w:cs="Times New Roman"/>
      <w:b/>
      <w:bCs/>
    </w:rPr>
  </w:style>
  <w:style w:type="character" w:customStyle="1" w:styleId="apple-converted-space">
    <w:name w:val="apple-converted-space"/>
    <w:basedOn w:val="DefaultParagraphFont"/>
    <w:uiPriority w:val="99"/>
    <w:rsid w:val="005225A5"/>
    <w:rPr>
      <w:rFonts w:cs="Times New Roman"/>
    </w:rPr>
  </w:style>
  <w:style w:type="paragraph" w:styleId="EndnoteText">
    <w:name w:val="endnote text"/>
    <w:basedOn w:val="Normal"/>
    <w:link w:val="EndnoteTextChar"/>
    <w:uiPriority w:val="99"/>
    <w:semiHidden/>
    <w:rsid w:val="0019003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9003C"/>
    <w:rPr>
      <w:rFonts w:cs="Times New Roman"/>
      <w:sz w:val="20"/>
      <w:szCs w:val="20"/>
    </w:rPr>
  </w:style>
  <w:style w:type="character" w:styleId="EndnoteReference">
    <w:name w:val="endnote reference"/>
    <w:basedOn w:val="DefaultParagraphFont"/>
    <w:uiPriority w:val="99"/>
    <w:semiHidden/>
    <w:rsid w:val="0019003C"/>
    <w:rPr>
      <w:rFonts w:cs="Times New Roman"/>
      <w:vertAlign w:val="superscript"/>
    </w:rPr>
  </w:style>
  <w:style w:type="paragraph" w:styleId="FootnoteText">
    <w:name w:val="footnote text"/>
    <w:basedOn w:val="Normal"/>
    <w:link w:val="FootnoteTextChar"/>
    <w:uiPriority w:val="99"/>
    <w:semiHidden/>
    <w:rsid w:val="0019003C"/>
    <w:pPr>
      <w:spacing w:after="0" w:line="240" w:lineRule="auto"/>
    </w:pPr>
    <w:rPr>
      <w:sz w:val="20"/>
      <w:szCs w:val="20"/>
    </w:rPr>
  </w:style>
  <w:style w:type="character" w:customStyle="1" w:styleId="FootnoteTextChar">
    <w:name w:val="Footnote Text Char"/>
    <w:basedOn w:val="DefaultParagraphFont"/>
    <w:link w:val="FootnoteText"/>
    <w:uiPriority w:val="99"/>
    <w:locked/>
    <w:rsid w:val="0019003C"/>
    <w:rPr>
      <w:rFonts w:cs="Times New Roman"/>
      <w:sz w:val="20"/>
      <w:szCs w:val="20"/>
    </w:rPr>
  </w:style>
  <w:style w:type="character" w:styleId="FootnoteReference">
    <w:name w:val="footnote reference"/>
    <w:basedOn w:val="DefaultParagraphFont"/>
    <w:uiPriority w:val="99"/>
    <w:semiHidden/>
    <w:rsid w:val="0019003C"/>
    <w:rPr>
      <w:rFonts w:cs="Times New Roman"/>
      <w:vertAlign w:val="superscript"/>
    </w:rPr>
  </w:style>
  <w:style w:type="character" w:styleId="Hyperlink">
    <w:name w:val="Hyperlink"/>
    <w:basedOn w:val="DefaultParagraphFont"/>
    <w:uiPriority w:val="99"/>
    <w:rsid w:val="0019003C"/>
    <w:rPr>
      <w:rFonts w:cs="Times New Roman"/>
      <w:color w:val="0000FF"/>
      <w:u w:val="single"/>
    </w:rPr>
  </w:style>
  <w:style w:type="paragraph" w:styleId="ListParagraph">
    <w:name w:val="List Paragraph"/>
    <w:basedOn w:val="Normal"/>
    <w:uiPriority w:val="99"/>
    <w:qFormat/>
    <w:rsid w:val="005E5029"/>
    <w:pPr>
      <w:ind w:left="720"/>
      <w:contextualSpacing/>
    </w:pPr>
  </w:style>
  <w:style w:type="paragraph" w:customStyle="1" w:styleId="BodyTextFirstIndentDouble">
    <w:name w:val="Body Text First Indent Double"/>
    <w:aliases w:val="btt2"/>
    <w:basedOn w:val="Normal"/>
    <w:uiPriority w:val="99"/>
    <w:rsid w:val="001873D5"/>
    <w:pPr>
      <w:spacing w:after="0" w:line="480" w:lineRule="auto"/>
      <w:ind w:firstLine="1440"/>
    </w:pPr>
    <w:rPr>
      <w:rFonts w:ascii="Times New Roman" w:eastAsia="Times New Roman" w:hAnsi="Times New Roman"/>
      <w:sz w:val="24"/>
      <w:szCs w:val="20"/>
    </w:rPr>
  </w:style>
  <w:style w:type="character" w:customStyle="1" w:styleId="apple-style-span">
    <w:name w:val="apple-style-span"/>
    <w:basedOn w:val="DefaultParagraphFont"/>
    <w:uiPriority w:val="99"/>
    <w:rsid w:val="00773B68"/>
    <w:rPr>
      <w:rFonts w:cs="Times New Roman"/>
    </w:rPr>
  </w:style>
  <w:style w:type="character" w:styleId="CommentReference">
    <w:name w:val="annotation reference"/>
    <w:basedOn w:val="DefaultParagraphFont"/>
    <w:uiPriority w:val="99"/>
    <w:semiHidden/>
    <w:rsid w:val="00A77F40"/>
    <w:rPr>
      <w:rFonts w:cs="Times New Roman"/>
      <w:sz w:val="16"/>
      <w:szCs w:val="16"/>
    </w:rPr>
  </w:style>
  <w:style w:type="paragraph" w:styleId="CommentText">
    <w:name w:val="annotation text"/>
    <w:basedOn w:val="Normal"/>
    <w:link w:val="CommentTextChar"/>
    <w:uiPriority w:val="99"/>
    <w:semiHidden/>
    <w:rsid w:val="00A77F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77F40"/>
    <w:rPr>
      <w:rFonts w:cs="Times New Roman"/>
      <w:sz w:val="20"/>
      <w:szCs w:val="20"/>
    </w:rPr>
  </w:style>
  <w:style w:type="paragraph" w:styleId="CommentSubject">
    <w:name w:val="annotation subject"/>
    <w:basedOn w:val="CommentText"/>
    <w:next w:val="CommentText"/>
    <w:link w:val="CommentSubjectChar"/>
    <w:uiPriority w:val="99"/>
    <w:semiHidden/>
    <w:rsid w:val="00A77F40"/>
    <w:rPr>
      <w:b/>
      <w:bCs/>
    </w:rPr>
  </w:style>
  <w:style w:type="character" w:customStyle="1" w:styleId="CommentSubjectChar">
    <w:name w:val="Comment Subject Char"/>
    <w:basedOn w:val="CommentTextChar"/>
    <w:link w:val="CommentSubject"/>
    <w:uiPriority w:val="99"/>
    <w:semiHidden/>
    <w:locked/>
    <w:rsid w:val="00A77F40"/>
    <w:rPr>
      <w:b/>
      <w:bCs/>
    </w:rPr>
  </w:style>
  <w:style w:type="paragraph" w:styleId="BalloonText">
    <w:name w:val="Balloon Text"/>
    <w:basedOn w:val="Normal"/>
    <w:link w:val="BalloonTextChar"/>
    <w:uiPriority w:val="99"/>
    <w:semiHidden/>
    <w:rsid w:val="00A77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7F40"/>
    <w:rPr>
      <w:rFonts w:ascii="Tahoma" w:hAnsi="Tahoma" w:cs="Tahoma"/>
      <w:sz w:val="16"/>
      <w:szCs w:val="16"/>
    </w:rPr>
  </w:style>
  <w:style w:type="paragraph" w:customStyle="1" w:styleId="stil1tekst">
    <w:name w:val="stil_1tekst"/>
    <w:basedOn w:val="Normal"/>
    <w:uiPriority w:val="99"/>
    <w:rsid w:val="00A1330C"/>
    <w:pPr>
      <w:spacing w:before="100" w:beforeAutospacing="1" w:after="100" w:afterAutospacing="1" w:line="240" w:lineRule="auto"/>
    </w:pPr>
    <w:rPr>
      <w:rFonts w:ascii="Times New Roman" w:eastAsia="Times New Roman" w:hAnsi="Times New Roman"/>
      <w:sz w:val="24"/>
      <w:szCs w:val="24"/>
    </w:rPr>
  </w:style>
  <w:style w:type="paragraph" w:customStyle="1" w:styleId="stil4clan">
    <w:name w:val="stil_4clan"/>
    <w:basedOn w:val="Normal"/>
    <w:uiPriority w:val="99"/>
    <w:rsid w:val="00A1330C"/>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A1330C"/>
  </w:style>
</w:styles>
</file>

<file path=word/webSettings.xml><?xml version="1.0" encoding="utf-8"?>
<w:webSettings xmlns:r="http://schemas.openxmlformats.org/officeDocument/2006/relationships" xmlns:w="http://schemas.openxmlformats.org/wordprocessingml/2006/main">
  <w:divs>
    <w:div w:id="807435358">
      <w:marLeft w:val="0"/>
      <w:marRight w:val="0"/>
      <w:marTop w:val="0"/>
      <w:marBottom w:val="0"/>
      <w:divBdr>
        <w:top w:val="none" w:sz="0" w:space="0" w:color="auto"/>
        <w:left w:val="none" w:sz="0" w:space="0" w:color="auto"/>
        <w:bottom w:val="none" w:sz="0" w:space="0" w:color="auto"/>
        <w:right w:val="none" w:sz="0" w:space="0" w:color="auto"/>
      </w:divBdr>
    </w:div>
    <w:div w:id="807435359">
      <w:marLeft w:val="0"/>
      <w:marRight w:val="0"/>
      <w:marTop w:val="0"/>
      <w:marBottom w:val="0"/>
      <w:divBdr>
        <w:top w:val="none" w:sz="0" w:space="0" w:color="auto"/>
        <w:left w:val="none" w:sz="0" w:space="0" w:color="auto"/>
        <w:bottom w:val="none" w:sz="0" w:space="0" w:color="auto"/>
        <w:right w:val="none" w:sz="0" w:space="0" w:color="auto"/>
      </w:divBdr>
    </w:div>
    <w:div w:id="807435360">
      <w:marLeft w:val="0"/>
      <w:marRight w:val="0"/>
      <w:marTop w:val="0"/>
      <w:marBottom w:val="0"/>
      <w:divBdr>
        <w:top w:val="none" w:sz="0" w:space="0" w:color="auto"/>
        <w:left w:val="none" w:sz="0" w:space="0" w:color="auto"/>
        <w:bottom w:val="none" w:sz="0" w:space="0" w:color="auto"/>
        <w:right w:val="none" w:sz="0" w:space="0" w:color="auto"/>
      </w:divBdr>
    </w:div>
    <w:div w:id="807435361">
      <w:marLeft w:val="0"/>
      <w:marRight w:val="0"/>
      <w:marTop w:val="0"/>
      <w:marBottom w:val="0"/>
      <w:divBdr>
        <w:top w:val="none" w:sz="0" w:space="0" w:color="auto"/>
        <w:left w:val="none" w:sz="0" w:space="0" w:color="auto"/>
        <w:bottom w:val="none" w:sz="0" w:space="0" w:color="auto"/>
        <w:right w:val="none" w:sz="0" w:space="0" w:color="auto"/>
      </w:divBdr>
    </w:div>
    <w:div w:id="807435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unhchr.ch/tbs/doc.nsf/(Symbol)/CCPR.C.79.Add.106.En?Opendocument" TargetMode="External"/><Relationship Id="rId2" Type="http://schemas.openxmlformats.org/officeDocument/2006/relationships/hyperlink" Target="http://www1.umn.edu/humanrts/africa/comcases/105-93_128-94_130-94_152-96.html" TargetMode="External"/><Relationship Id="rId1" Type="http://schemas.openxmlformats.org/officeDocument/2006/relationships/hyperlink" Target="http://www.ustavni.sud.rs/page/view/149-101247/saopstenje-sa-31-redovne-sednice-ustavnog-suda-odrzane-22-jula-2010-godine-kojom-je-predsedavala-dr-bosa-nenadic-predsednik-ustavnog-suda" TargetMode="External"/><Relationship Id="rId5" Type="http://schemas.openxmlformats.org/officeDocument/2006/relationships/hyperlink" Target="http://www.rtv.rs/sr_lat/drustvo/ustavni-sud-o-izmenama-zakona-o-informisanju_202124.html" TargetMode="External"/><Relationship Id="rId4" Type="http://schemas.openxmlformats.org/officeDocument/2006/relationships/hyperlink" Target="http://www.article19.org/pdfs/cases/gambia-comments-on-media-commission-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9056</Characters>
  <Application>Microsoft Office Word</Application>
  <DocSecurity>0</DocSecurity>
  <Lines>75</Lines>
  <Paragraphs>21</Paragraphs>
  <ScaleCrop>false</ScaleCrop>
  <Company>Home</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MEDIJSKO PRAVO</dc:title>
  <dc:creator>Bata</dc:creator>
  <cp:lastModifiedBy>aminovic</cp:lastModifiedBy>
  <cp:revision>2</cp:revision>
  <dcterms:created xsi:type="dcterms:W3CDTF">2015-09-30T13:07:00Z</dcterms:created>
  <dcterms:modified xsi:type="dcterms:W3CDTF">2015-09-30T13:07:00Z</dcterms:modified>
</cp:coreProperties>
</file>