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A2" w:rsidRPr="001E1A34" w:rsidRDefault="00937DA2" w:rsidP="00883C27">
      <w:pPr>
        <w:jc w:val="center"/>
        <w:rPr>
          <w:rFonts w:ascii="Times New Roman" w:hAnsi="Times New Roman" w:cs="Times New Roman"/>
          <w:sz w:val="28"/>
          <w:szCs w:val="28"/>
        </w:rPr>
      </w:pPr>
      <w:r w:rsidRPr="001E1A34">
        <w:rPr>
          <w:rFonts w:ascii="Times New Roman" w:hAnsi="Times New Roman" w:cs="Times New Roman"/>
          <w:sz w:val="28"/>
          <w:szCs w:val="28"/>
        </w:rPr>
        <w:t>Legal Attempts to Restrict Propaganda Broadcasts Related to Crisis in and around Ukraine, 2014-15</w:t>
      </w:r>
    </w:p>
    <w:p w:rsidR="00937DA2" w:rsidRPr="000A5D5A" w:rsidRDefault="000A5D5A" w:rsidP="000A5D5A">
      <w:pPr>
        <w:jc w:val="center"/>
        <w:rPr>
          <w:rFonts w:ascii="Times New Roman" w:hAnsi="Times New Roman" w:cs="Times New Roman"/>
          <w:sz w:val="24"/>
          <w:szCs w:val="24"/>
        </w:rPr>
      </w:pPr>
      <w:r w:rsidRPr="000A5D5A">
        <w:rPr>
          <w:rFonts w:ascii="Times New Roman" w:hAnsi="Times New Roman" w:cs="Times New Roman"/>
          <w:sz w:val="24"/>
          <w:szCs w:val="24"/>
        </w:rPr>
        <w:t xml:space="preserve">(Presentation by </w:t>
      </w:r>
      <w:r w:rsidR="00937DA2" w:rsidRPr="000A5D5A">
        <w:rPr>
          <w:rFonts w:ascii="Times New Roman" w:hAnsi="Times New Roman" w:cs="Times New Roman"/>
          <w:sz w:val="24"/>
          <w:szCs w:val="24"/>
        </w:rPr>
        <w:t>Andrei Richter,</w:t>
      </w:r>
      <w:r w:rsidRPr="000A5D5A">
        <w:rPr>
          <w:rFonts w:ascii="Times New Roman" w:hAnsi="Times New Roman" w:cs="Times New Roman"/>
          <w:sz w:val="24"/>
          <w:szCs w:val="24"/>
        </w:rPr>
        <w:t xml:space="preserve"> </w:t>
      </w:r>
      <w:r w:rsidR="00937DA2" w:rsidRPr="000A5D5A">
        <w:rPr>
          <w:rFonts w:ascii="Times New Roman" w:hAnsi="Times New Roman" w:cs="Times New Roman"/>
          <w:sz w:val="24"/>
          <w:szCs w:val="24"/>
        </w:rPr>
        <w:t>Director,</w:t>
      </w:r>
      <w:r w:rsidRPr="000A5D5A">
        <w:rPr>
          <w:rFonts w:ascii="Times New Roman" w:hAnsi="Times New Roman" w:cs="Times New Roman"/>
          <w:sz w:val="24"/>
          <w:szCs w:val="24"/>
        </w:rPr>
        <w:t xml:space="preserve"> </w:t>
      </w:r>
      <w:r w:rsidR="00937DA2" w:rsidRPr="000A5D5A">
        <w:rPr>
          <w:rFonts w:ascii="Times New Roman" w:hAnsi="Times New Roman" w:cs="Times New Roman"/>
          <w:sz w:val="24"/>
          <w:szCs w:val="24"/>
        </w:rPr>
        <w:t>Office of the Representative on Fr</w:t>
      </w:r>
      <w:r w:rsidRPr="000A5D5A">
        <w:rPr>
          <w:rFonts w:ascii="Times New Roman" w:hAnsi="Times New Roman" w:cs="Times New Roman"/>
          <w:sz w:val="24"/>
          <w:szCs w:val="24"/>
        </w:rPr>
        <w:t>eedom of the Media, OSCE</w:t>
      </w:r>
      <w:r w:rsidR="00937DA2" w:rsidRPr="000A5D5A">
        <w:rPr>
          <w:rFonts w:ascii="Times New Roman" w:hAnsi="Times New Roman" w:cs="Times New Roman"/>
          <w:sz w:val="24"/>
          <w:szCs w:val="24"/>
        </w:rPr>
        <w:t>)</w:t>
      </w:r>
      <w:r w:rsidRPr="000A5D5A">
        <w:rPr>
          <w:rFonts w:ascii="Times New Roman" w:hAnsi="Times New Roman" w:cs="Times New Roman"/>
          <w:sz w:val="24"/>
          <w:szCs w:val="24"/>
        </w:rPr>
        <w:t xml:space="preserve"> at the </w:t>
      </w:r>
      <w:r w:rsidRPr="000A5D5A">
        <w:rPr>
          <w:rFonts w:ascii="Times New Roman" w:hAnsi="Times New Roman" w:cs="Times New Roman"/>
          <w:sz w:val="24"/>
          <w:szCs w:val="24"/>
          <w:lang w:val="en"/>
        </w:rPr>
        <w:t>Justice for Free Expression conference at Columbia University, New York, on 11 March 2015, see http://globalfreespeech.columbia.edu/event/justice-free-expression-</w:t>
      </w:r>
      <w:proofErr w:type="gramStart"/>
      <w:r w:rsidRPr="000A5D5A">
        <w:rPr>
          <w:rFonts w:ascii="Times New Roman" w:hAnsi="Times New Roman" w:cs="Times New Roman"/>
          <w:sz w:val="24"/>
          <w:szCs w:val="24"/>
          <w:lang w:val="en"/>
        </w:rPr>
        <w:t>2014 )</w:t>
      </w:r>
      <w:proofErr w:type="gramEnd"/>
    </w:p>
    <w:p w:rsidR="00937DA2" w:rsidRPr="001E1A34" w:rsidRDefault="00937DA2" w:rsidP="00937DA2">
      <w:pPr>
        <w:rPr>
          <w:rFonts w:ascii="Times New Roman" w:hAnsi="Times New Roman" w:cs="Times New Roman"/>
          <w:sz w:val="28"/>
          <w:szCs w:val="28"/>
        </w:rPr>
      </w:pPr>
      <w:r w:rsidRPr="001E1A34">
        <w:rPr>
          <w:rFonts w:ascii="Times New Roman" w:hAnsi="Times New Roman" w:cs="Times New Roman"/>
          <w:sz w:val="28"/>
          <w:szCs w:val="28"/>
        </w:rPr>
        <w:t xml:space="preserve">Last year marked the 100 year anniversary of the start of the First World War. It is relevant to remember that the Austro-Hungarian ultimatum to Serbia which precipitated the start of the hostilities had a major objective to stop nationalistic propaganda as it flared the existing controversies. It aimed to punish those in the civil and military service of Serbia responsible for domestic as well as transnational propaganda against Austro-Hungarian Monarchy in Bosnia and Herzegovina.   </w:t>
      </w:r>
    </w:p>
    <w:p w:rsidR="000A5D5A" w:rsidRDefault="00937DA2" w:rsidP="000A5D5A">
      <w:pPr>
        <w:rPr>
          <w:rFonts w:ascii="Times New Roman" w:hAnsi="Times New Roman" w:cs="Times New Roman"/>
          <w:sz w:val="28"/>
          <w:szCs w:val="28"/>
        </w:rPr>
      </w:pPr>
      <w:r w:rsidRPr="001E1A34">
        <w:rPr>
          <w:rFonts w:ascii="Times New Roman" w:hAnsi="Times New Roman" w:cs="Times New Roman"/>
          <w:sz w:val="28"/>
          <w:szCs w:val="28"/>
        </w:rPr>
        <w:t>The conflict in and around Ukraine in 2014-15</w:t>
      </w:r>
      <w:r w:rsidR="001E1A34" w:rsidRPr="001E1A34">
        <w:rPr>
          <w:rFonts w:ascii="Times New Roman" w:hAnsi="Times New Roman" w:cs="Times New Roman"/>
          <w:sz w:val="28"/>
          <w:szCs w:val="28"/>
        </w:rPr>
        <w:t>, viewed by some as prologue to the World War Three,</w:t>
      </w:r>
      <w:r w:rsidRPr="001E1A34">
        <w:rPr>
          <w:rFonts w:ascii="Times New Roman" w:hAnsi="Times New Roman" w:cs="Times New Roman"/>
          <w:sz w:val="28"/>
          <w:szCs w:val="28"/>
        </w:rPr>
        <w:t xml:space="preserve"> has invoked heated accusations and counter-accusations of a spread of war propaganda and hate speech. First activists of EuroMaidan, who later became the new Ukrainian elite, and then other observers pointed to the tremendous increase of coverage of Ukrainian affairs in the Russian media, especially on television. Of concern was a heated barrage of messages against what was </w:t>
      </w:r>
      <w:r w:rsidR="001017AA" w:rsidRPr="001E1A34">
        <w:rPr>
          <w:rFonts w:ascii="Times New Roman" w:hAnsi="Times New Roman" w:cs="Times New Roman"/>
          <w:sz w:val="28"/>
          <w:szCs w:val="28"/>
        </w:rPr>
        <w:t>labelled</w:t>
      </w:r>
      <w:r w:rsidRPr="001E1A34">
        <w:rPr>
          <w:rFonts w:ascii="Times New Roman" w:hAnsi="Times New Roman" w:cs="Times New Roman"/>
          <w:sz w:val="28"/>
          <w:szCs w:val="28"/>
        </w:rPr>
        <w:t xml:space="preserve"> </w:t>
      </w:r>
      <w:r w:rsidR="00334345" w:rsidRPr="001E1A34">
        <w:rPr>
          <w:rFonts w:ascii="Times New Roman" w:hAnsi="Times New Roman" w:cs="Times New Roman"/>
          <w:sz w:val="28"/>
          <w:szCs w:val="28"/>
        </w:rPr>
        <w:t xml:space="preserve">on Moscow’s TV </w:t>
      </w:r>
      <w:r w:rsidRPr="001E1A34">
        <w:rPr>
          <w:rFonts w:ascii="Times New Roman" w:hAnsi="Times New Roman" w:cs="Times New Roman"/>
          <w:sz w:val="28"/>
          <w:szCs w:val="28"/>
        </w:rPr>
        <w:t xml:space="preserve">“Kiev junta”, “fascist nationalists”, “extremists”, and “militants”, who came to power as a result of a “coup d’état”, etc. </w:t>
      </w:r>
      <w:r w:rsidR="00334345" w:rsidRPr="001E1A34">
        <w:rPr>
          <w:rFonts w:ascii="Times New Roman" w:hAnsi="Times New Roman" w:cs="Times New Roman"/>
          <w:sz w:val="28"/>
          <w:szCs w:val="28"/>
        </w:rPr>
        <w:t>These ugly characters</w:t>
      </w:r>
      <w:r w:rsidRPr="001E1A34">
        <w:rPr>
          <w:rFonts w:ascii="Times New Roman" w:hAnsi="Times New Roman" w:cs="Times New Roman"/>
          <w:sz w:val="28"/>
          <w:szCs w:val="28"/>
        </w:rPr>
        <w:t xml:space="preserve"> were opposed by </w:t>
      </w:r>
      <w:r w:rsidR="00334345" w:rsidRPr="001E1A34">
        <w:rPr>
          <w:rFonts w:ascii="Times New Roman" w:hAnsi="Times New Roman" w:cs="Times New Roman"/>
          <w:sz w:val="28"/>
          <w:szCs w:val="28"/>
        </w:rPr>
        <w:t xml:space="preserve">brave </w:t>
      </w:r>
      <w:r w:rsidRPr="001E1A34">
        <w:rPr>
          <w:rFonts w:ascii="Times New Roman" w:hAnsi="Times New Roman" w:cs="Times New Roman"/>
          <w:sz w:val="28"/>
          <w:szCs w:val="28"/>
        </w:rPr>
        <w:t xml:space="preserve">“people’s governors and mayors”, “supporters of federalization” and, finally, “local militia”. With time the issue has entered the world of political debate, academic conferences and publications.  </w:t>
      </w:r>
    </w:p>
    <w:p w:rsidR="000A5D5A" w:rsidRPr="000A5D5A" w:rsidRDefault="000A5D5A" w:rsidP="000A5D5A">
      <w:pPr>
        <w:rPr>
          <w:rFonts w:ascii="Times New Roman" w:hAnsi="Times New Roman" w:cs="Times New Roman"/>
          <w:bCs/>
          <w:sz w:val="28"/>
          <w:szCs w:val="28"/>
        </w:rPr>
      </w:pPr>
      <w:r w:rsidRPr="000A5D5A">
        <w:rPr>
          <w:rFonts w:ascii="Times New Roman" w:hAnsi="Times New Roman" w:cs="Times New Roman"/>
          <w:bCs/>
          <w:sz w:val="28"/>
          <w:szCs w:val="28"/>
        </w:rPr>
        <w:t xml:space="preserve">In preparations to this speech I have reviewed </w:t>
      </w:r>
      <w:r>
        <w:rPr>
          <w:rFonts w:ascii="Times New Roman" w:hAnsi="Times New Roman" w:cs="Times New Roman"/>
          <w:bCs/>
          <w:sz w:val="28"/>
          <w:szCs w:val="28"/>
        </w:rPr>
        <w:t xml:space="preserve">existing </w:t>
      </w:r>
      <w:r w:rsidRPr="000A5D5A">
        <w:rPr>
          <w:rFonts w:ascii="Times New Roman" w:hAnsi="Times New Roman" w:cs="Times New Roman"/>
          <w:bCs/>
          <w:sz w:val="28"/>
          <w:szCs w:val="28"/>
        </w:rPr>
        <w:t xml:space="preserve">international </w:t>
      </w:r>
      <w:r>
        <w:rPr>
          <w:rFonts w:ascii="Times New Roman" w:hAnsi="Times New Roman" w:cs="Times New Roman"/>
          <w:bCs/>
          <w:sz w:val="28"/>
          <w:szCs w:val="28"/>
        </w:rPr>
        <w:t xml:space="preserve">law, such as International Covenant on Civil and Political Rights and the European Convention on Human Rights, including the problem of </w:t>
      </w:r>
      <w:r w:rsidRPr="000A5D5A">
        <w:rPr>
          <w:rFonts w:ascii="Times New Roman" w:hAnsi="Times New Roman" w:cs="Times New Roman"/>
          <w:bCs/>
          <w:sz w:val="28"/>
          <w:szCs w:val="28"/>
        </w:rPr>
        <w:t>definitions</w:t>
      </w:r>
      <w:r>
        <w:rPr>
          <w:rFonts w:ascii="Times New Roman" w:hAnsi="Times New Roman" w:cs="Times New Roman"/>
          <w:bCs/>
          <w:sz w:val="28"/>
          <w:szCs w:val="28"/>
        </w:rPr>
        <w:t xml:space="preserve"> therein, such as definitions of “propaganda”, “war”, “incitement” and “hatred.” Then I researched into the case l</w:t>
      </w:r>
      <w:r w:rsidRPr="000A5D5A">
        <w:rPr>
          <w:rFonts w:ascii="Times New Roman" w:hAnsi="Times New Roman" w:cs="Times New Roman"/>
          <w:bCs/>
          <w:sz w:val="28"/>
          <w:szCs w:val="28"/>
        </w:rPr>
        <w:t xml:space="preserve">aw </w:t>
      </w:r>
      <w:r>
        <w:rPr>
          <w:rFonts w:ascii="Times New Roman" w:hAnsi="Times New Roman" w:cs="Times New Roman"/>
          <w:bCs/>
          <w:sz w:val="28"/>
          <w:szCs w:val="28"/>
        </w:rPr>
        <w:t xml:space="preserve">and </w:t>
      </w:r>
      <w:r w:rsidRPr="000A5D5A">
        <w:rPr>
          <w:rFonts w:ascii="Times New Roman" w:hAnsi="Times New Roman" w:cs="Times New Roman"/>
          <w:bCs/>
          <w:sz w:val="28"/>
          <w:szCs w:val="28"/>
        </w:rPr>
        <w:t xml:space="preserve">national </w:t>
      </w:r>
      <w:r>
        <w:rPr>
          <w:rFonts w:ascii="Times New Roman" w:hAnsi="Times New Roman" w:cs="Times New Roman"/>
          <w:bCs/>
          <w:sz w:val="28"/>
          <w:szCs w:val="28"/>
        </w:rPr>
        <w:t xml:space="preserve">statuary </w:t>
      </w:r>
      <w:r w:rsidRPr="000A5D5A">
        <w:rPr>
          <w:rFonts w:ascii="Times New Roman" w:hAnsi="Times New Roman" w:cs="Times New Roman"/>
          <w:bCs/>
          <w:sz w:val="28"/>
          <w:szCs w:val="28"/>
        </w:rPr>
        <w:t>law</w:t>
      </w:r>
      <w:r>
        <w:rPr>
          <w:rFonts w:ascii="Times New Roman" w:hAnsi="Times New Roman" w:cs="Times New Roman"/>
          <w:bCs/>
          <w:sz w:val="28"/>
          <w:szCs w:val="28"/>
        </w:rPr>
        <w:t xml:space="preserve"> in</w:t>
      </w:r>
      <w:r w:rsidRPr="000A5D5A">
        <w:rPr>
          <w:rFonts w:ascii="Times New Roman" w:hAnsi="Times New Roman" w:cs="Times New Roman"/>
          <w:bCs/>
          <w:sz w:val="28"/>
          <w:szCs w:val="28"/>
        </w:rPr>
        <w:t xml:space="preserve"> Lithuania</w:t>
      </w:r>
      <w:r>
        <w:rPr>
          <w:rFonts w:ascii="Times New Roman" w:hAnsi="Times New Roman" w:cs="Times New Roman"/>
          <w:bCs/>
          <w:sz w:val="28"/>
          <w:szCs w:val="28"/>
        </w:rPr>
        <w:t>,</w:t>
      </w:r>
      <w:r w:rsidRPr="000A5D5A">
        <w:rPr>
          <w:rFonts w:ascii="Times New Roman" w:hAnsi="Times New Roman" w:cs="Times New Roman"/>
          <w:bCs/>
          <w:sz w:val="28"/>
          <w:szCs w:val="28"/>
        </w:rPr>
        <w:t xml:space="preserve"> </w:t>
      </w:r>
      <w:r w:rsidRPr="000A5D5A">
        <w:rPr>
          <w:rFonts w:ascii="Times New Roman" w:hAnsi="Times New Roman" w:cs="Times New Roman"/>
          <w:bCs/>
          <w:sz w:val="28"/>
          <w:szCs w:val="28"/>
        </w:rPr>
        <w:t>Moldova</w:t>
      </w:r>
      <w:r>
        <w:rPr>
          <w:rFonts w:ascii="Times New Roman" w:hAnsi="Times New Roman" w:cs="Times New Roman"/>
          <w:bCs/>
          <w:sz w:val="28"/>
          <w:szCs w:val="28"/>
        </w:rPr>
        <w:t>,</w:t>
      </w:r>
      <w:r w:rsidRPr="000A5D5A">
        <w:rPr>
          <w:rFonts w:ascii="Times New Roman" w:hAnsi="Times New Roman" w:cs="Times New Roman"/>
          <w:bCs/>
          <w:sz w:val="28"/>
          <w:szCs w:val="28"/>
        </w:rPr>
        <w:t xml:space="preserve"> Ukraine</w:t>
      </w:r>
      <w:r>
        <w:rPr>
          <w:rFonts w:ascii="Times New Roman" w:hAnsi="Times New Roman" w:cs="Times New Roman"/>
          <w:bCs/>
          <w:sz w:val="28"/>
          <w:szCs w:val="28"/>
        </w:rPr>
        <w:t>, decisions of national media r</w:t>
      </w:r>
      <w:r w:rsidRPr="000A5D5A">
        <w:rPr>
          <w:rFonts w:ascii="Times New Roman" w:hAnsi="Times New Roman" w:cs="Times New Roman"/>
          <w:bCs/>
          <w:sz w:val="28"/>
          <w:szCs w:val="28"/>
        </w:rPr>
        <w:t>egulator</w:t>
      </w:r>
      <w:r>
        <w:rPr>
          <w:rFonts w:ascii="Times New Roman" w:hAnsi="Times New Roman" w:cs="Times New Roman"/>
          <w:bCs/>
          <w:sz w:val="28"/>
          <w:szCs w:val="28"/>
        </w:rPr>
        <w:t>s in these countries, as well as in Latvia and the</w:t>
      </w:r>
      <w:r w:rsidRPr="000A5D5A">
        <w:rPr>
          <w:rFonts w:ascii="Times New Roman" w:hAnsi="Times New Roman" w:cs="Times New Roman"/>
          <w:bCs/>
          <w:sz w:val="28"/>
          <w:szCs w:val="28"/>
        </w:rPr>
        <w:t xml:space="preserve"> UK</w:t>
      </w:r>
      <w:r>
        <w:rPr>
          <w:rFonts w:ascii="Times New Roman" w:hAnsi="Times New Roman" w:cs="Times New Roman"/>
          <w:bCs/>
          <w:sz w:val="28"/>
          <w:szCs w:val="28"/>
        </w:rPr>
        <w:t>, decisions of the m</w:t>
      </w:r>
      <w:r w:rsidRPr="000A5D5A">
        <w:rPr>
          <w:rFonts w:ascii="Times New Roman" w:hAnsi="Times New Roman" w:cs="Times New Roman"/>
          <w:bCs/>
          <w:sz w:val="28"/>
          <w:szCs w:val="28"/>
        </w:rPr>
        <w:t xml:space="preserve">edia </w:t>
      </w:r>
      <w:r>
        <w:rPr>
          <w:rFonts w:ascii="Times New Roman" w:hAnsi="Times New Roman" w:cs="Times New Roman"/>
          <w:bCs/>
          <w:sz w:val="28"/>
          <w:szCs w:val="28"/>
        </w:rPr>
        <w:t>council in</w:t>
      </w:r>
      <w:r w:rsidRPr="000A5D5A">
        <w:rPr>
          <w:rFonts w:ascii="Times New Roman" w:hAnsi="Times New Roman" w:cs="Times New Roman"/>
          <w:bCs/>
          <w:sz w:val="28"/>
          <w:szCs w:val="28"/>
        </w:rPr>
        <w:t xml:space="preserve"> Russia</w:t>
      </w:r>
      <w:r>
        <w:rPr>
          <w:rFonts w:ascii="Times New Roman" w:hAnsi="Times New Roman" w:cs="Times New Roman"/>
          <w:bCs/>
          <w:sz w:val="28"/>
          <w:szCs w:val="28"/>
        </w:rPr>
        <w:t>. Of particular interest was the emerging d</w:t>
      </w:r>
      <w:r w:rsidRPr="000A5D5A">
        <w:rPr>
          <w:rFonts w:ascii="Times New Roman" w:hAnsi="Times New Roman" w:cs="Times New Roman"/>
          <w:bCs/>
          <w:sz w:val="28"/>
          <w:szCs w:val="28"/>
        </w:rPr>
        <w:t>raft legislation</w:t>
      </w:r>
      <w:r>
        <w:rPr>
          <w:rFonts w:ascii="Times New Roman" w:hAnsi="Times New Roman" w:cs="Times New Roman"/>
          <w:bCs/>
          <w:sz w:val="28"/>
          <w:szCs w:val="28"/>
        </w:rPr>
        <w:t>, especially in Ukraine and Lithuania.</w:t>
      </w:r>
      <w:r w:rsidRPr="000A5D5A">
        <w:rPr>
          <w:rFonts w:ascii="Times New Roman" w:hAnsi="Times New Roman" w:cs="Times New Roman"/>
          <w:bCs/>
          <w:sz w:val="28"/>
          <w:szCs w:val="28"/>
        </w:rPr>
        <w:t xml:space="preserve"> </w:t>
      </w:r>
    </w:p>
    <w:p w:rsidR="00937DA2" w:rsidRPr="001E1A34" w:rsidRDefault="00937DA2" w:rsidP="000A5D5A">
      <w:pPr>
        <w:rPr>
          <w:rFonts w:ascii="Times New Roman" w:hAnsi="Times New Roman" w:cs="Times New Roman"/>
          <w:b/>
          <w:bCs/>
          <w:sz w:val="28"/>
          <w:szCs w:val="28"/>
          <w:lang w:val="en"/>
        </w:rPr>
      </w:pPr>
      <w:r w:rsidRPr="001E1A34">
        <w:rPr>
          <w:rFonts w:ascii="Times New Roman" w:hAnsi="Times New Roman" w:cs="Times New Roman"/>
          <w:bCs/>
          <w:sz w:val="28"/>
          <w:szCs w:val="28"/>
          <w:lang w:val="en"/>
        </w:rPr>
        <w:t xml:space="preserve">Having analyzed the decisions of the regulators and the courts we detect the following </w:t>
      </w:r>
      <w:r w:rsidR="001E1A34" w:rsidRPr="001E1A34">
        <w:rPr>
          <w:rFonts w:ascii="Times New Roman" w:hAnsi="Times New Roman" w:cs="Times New Roman"/>
          <w:bCs/>
          <w:sz w:val="28"/>
          <w:szCs w:val="28"/>
          <w:lang w:val="en"/>
        </w:rPr>
        <w:t xml:space="preserve">five </w:t>
      </w:r>
      <w:r w:rsidRPr="001E1A34">
        <w:rPr>
          <w:rFonts w:ascii="Times New Roman" w:hAnsi="Times New Roman" w:cs="Times New Roman"/>
          <w:bCs/>
          <w:sz w:val="28"/>
          <w:szCs w:val="28"/>
          <w:lang w:val="en"/>
        </w:rPr>
        <w:t>trends:</w:t>
      </w:r>
      <w:r w:rsidR="001E1A34" w:rsidRPr="001E1A34">
        <w:rPr>
          <w:rFonts w:ascii="Times New Roman" w:hAnsi="Times New Roman" w:cs="Times New Roman"/>
          <w:bCs/>
          <w:sz w:val="28"/>
          <w:szCs w:val="28"/>
          <w:lang w:val="en"/>
        </w:rPr>
        <w:t xml:space="preserve"> </w:t>
      </w:r>
    </w:p>
    <w:p w:rsidR="00937DA2" w:rsidRPr="001E1A34" w:rsidRDefault="00937DA2" w:rsidP="00937DA2">
      <w:pPr>
        <w:pStyle w:val="ListParagraph"/>
        <w:numPr>
          <w:ilvl w:val="0"/>
          <w:numId w:val="1"/>
        </w:numPr>
        <w:ind w:firstLine="567"/>
        <w:rPr>
          <w:rFonts w:ascii="Times New Roman" w:hAnsi="Times New Roman" w:cs="Times New Roman"/>
          <w:bCs/>
          <w:sz w:val="28"/>
          <w:szCs w:val="28"/>
          <w:lang w:val="en"/>
        </w:rPr>
      </w:pPr>
      <w:r w:rsidRPr="001E1A34">
        <w:rPr>
          <w:rFonts w:ascii="Times New Roman" w:hAnsi="Times New Roman" w:cs="Times New Roman"/>
          <w:bCs/>
          <w:sz w:val="28"/>
          <w:szCs w:val="28"/>
          <w:lang w:val="en"/>
        </w:rPr>
        <w:lastRenderedPageBreak/>
        <w:t xml:space="preserve">The courts and regulators generally base their decisions on </w:t>
      </w:r>
      <w:proofErr w:type="gramStart"/>
      <w:r w:rsidRPr="001E1A34">
        <w:rPr>
          <w:rFonts w:ascii="Times New Roman" w:hAnsi="Times New Roman" w:cs="Times New Roman"/>
          <w:b/>
          <w:bCs/>
          <w:sz w:val="28"/>
          <w:szCs w:val="28"/>
          <w:lang w:val="en"/>
        </w:rPr>
        <w:t>national</w:t>
      </w:r>
      <w:proofErr w:type="gramEnd"/>
      <w:r w:rsidRPr="001E1A34">
        <w:rPr>
          <w:rFonts w:ascii="Times New Roman" w:hAnsi="Times New Roman" w:cs="Times New Roman"/>
          <w:b/>
          <w:bCs/>
          <w:sz w:val="28"/>
          <w:szCs w:val="28"/>
          <w:lang w:val="en"/>
        </w:rPr>
        <w:t xml:space="preserve"> constitutions and statuary law</w:t>
      </w:r>
      <w:r w:rsidRPr="001E1A34">
        <w:rPr>
          <w:rFonts w:ascii="Times New Roman" w:hAnsi="Times New Roman" w:cs="Times New Roman"/>
          <w:bCs/>
          <w:sz w:val="28"/>
          <w:szCs w:val="28"/>
          <w:lang w:val="en"/>
        </w:rPr>
        <w:t xml:space="preserve">. They do not necessarily find a solid base there. </w:t>
      </w:r>
    </w:p>
    <w:p w:rsidR="00937DA2" w:rsidRPr="001E1A34" w:rsidRDefault="00937DA2" w:rsidP="00937DA2">
      <w:pPr>
        <w:pStyle w:val="ListParagraph"/>
        <w:ind w:left="927" w:firstLine="567"/>
        <w:rPr>
          <w:rFonts w:ascii="Times New Roman" w:hAnsi="Times New Roman" w:cs="Times New Roman"/>
          <w:bCs/>
          <w:sz w:val="28"/>
          <w:szCs w:val="28"/>
          <w:lang w:val="en"/>
        </w:rPr>
      </w:pPr>
      <w:r w:rsidRPr="001E1A34">
        <w:rPr>
          <w:rFonts w:ascii="Times New Roman" w:hAnsi="Times New Roman" w:cs="Times New Roman"/>
          <w:bCs/>
          <w:sz w:val="28"/>
          <w:szCs w:val="28"/>
          <w:lang w:val="en"/>
        </w:rPr>
        <w:t>The laws of all countries involved ban censorship and stipulate, in very strong words, freedom of expression and freedom of the media. Suspension of retransmission of foreign broadcasts for a limited time is foreseen in the law of Lithuania, Latvia and Moldova, though not in Ukraine or UK.</w:t>
      </w:r>
    </w:p>
    <w:p w:rsidR="00937DA2" w:rsidRPr="001E1A34" w:rsidRDefault="00937DA2" w:rsidP="00937DA2">
      <w:pPr>
        <w:pStyle w:val="ListParagraph"/>
        <w:ind w:left="927" w:firstLine="567"/>
        <w:rPr>
          <w:rFonts w:ascii="Times New Roman" w:hAnsi="Times New Roman" w:cs="Times New Roman"/>
          <w:bCs/>
          <w:sz w:val="28"/>
          <w:szCs w:val="28"/>
          <w:lang w:val="en"/>
        </w:rPr>
      </w:pPr>
      <w:r w:rsidRPr="001E1A34">
        <w:rPr>
          <w:rFonts w:ascii="Times New Roman" w:hAnsi="Times New Roman" w:cs="Times New Roman"/>
          <w:bCs/>
          <w:sz w:val="28"/>
          <w:szCs w:val="28"/>
          <w:lang w:val="en"/>
        </w:rPr>
        <w:t xml:space="preserve">National law allows restrictions on hate speech. While some of the constitutions (Latvia, Ukraine) do not mention propaganda for war, </w:t>
      </w:r>
      <w:r w:rsidR="00334345" w:rsidRPr="001E1A34">
        <w:rPr>
          <w:rFonts w:ascii="Times New Roman" w:hAnsi="Times New Roman" w:cs="Times New Roman"/>
          <w:bCs/>
          <w:sz w:val="28"/>
          <w:szCs w:val="28"/>
          <w:lang w:val="en"/>
        </w:rPr>
        <w:t>it</w:t>
      </w:r>
      <w:r w:rsidRPr="001E1A34">
        <w:rPr>
          <w:rFonts w:ascii="Times New Roman" w:hAnsi="Times New Roman" w:cs="Times New Roman"/>
          <w:bCs/>
          <w:sz w:val="28"/>
          <w:szCs w:val="28"/>
          <w:lang w:val="en"/>
        </w:rPr>
        <w:t xml:space="preserve"> is banned in relevant media law of Latvia, Lithuania, Moldova and Ukraine. Provisions on national security and its component, informational security, serve as a basis for decisions taken in Ukraine and also in Latvia. </w:t>
      </w:r>
    </w:p>
    <w:p w:rsidR="00937DA2" w:rsidRPr="001E1A34" w:rsidRDefault="00937DA2" w:rsidP="00937DA2">
      <w:pPr>
        <w:pStyle w:val="ListParagraph"/>
        <w:ind w:left="927" w:firstLine="567"/>
        <w:rPr>
          <w:rFonts w:ascii="Times New Roman" w:hAnsi="Times New Roman" w:cs="Times New Roman"/>
          <w:bCs/>
          <w:sz w:val="28"/>
          <w:szCs w:val="28"/>
          <w:lang w:val="en"/>
        </w:rPr>
      </w:pPr>
      <w:r w:rsidRPr="001E1A34">
        <w:rPr>
          <w:rFonts w:ascii="Times New Roman" w:hAnsi="Times New Roman" w:cs="Times New Roman"/>
          <w:bCs/>
          <w:sz w:val="28"/>
          <w:szCs w:val="28"/>
          <w:lang w:val="en"/>
        </w:rPr>
        <w:t xml:space="preserve">The courts refer to these provisions explaining their decisions. Temporary suspension for three months was the sanction used in Lithuania and Latvia. In Moldova </w:t>
      </w:r>
      <w:r w:rsidR="000A5D5A">
        <w:rPr>
          <w:rFonts w:ascii="Times New Roman" w:hAnsi="Times New Roman" w:cs="Times New Roman"/>
          <w:bCs/>
          <w:sz w:val="28"/>
          <w:szCs w:val="28"/>
          <w:lang w:val="en"/>
        </w:rPr>
        <w:t>it</w:t>
      </w:r>
      <w:r w:rsidRPr="001E1A34">
        <w:rPr>
          <w:rFonts w:ascii="Times New Roman" w:hAnsi="Times New Roman" w:cs="Times New Roman"/>
          <w:bCs/>
          <w:sz w:val="28"/>
          <w:szCs w:val="28"/>
          <w:lang w:val="en"/>
        </w:rPr>
        <w:t xml:space="preserve"> was a suspension of advertising for 3 days. In Ukraine the administrative courts have deliberated on the merits of complaints by the national regulator since March 2014, and it looks that such an extended trial is caused by political rather than legal considerations. In particular, the court might be expecting changes in legislation that will enable them ban Russian channels with a solid base in law. </w:t>
      </w:r>
    </w:p>
    <w:p w:rsidR="00937DA2" w:rsidRPr="001E1A34" w:rsidRDefault="00937DA2" w:rsidP="00937DA2">
      <w:pPr>
        <w:pStyle w:val="ListParagraph"/>
        <w:numPr>
          <w:ilvl w:val="0"/>
          <w:numId w:val="1"/>
        </w:numPr>
        <w:ind w:firstLine="567"/>
        <w:rPr>
          <w:rFonts w:ascii="Times New Roman" w:hAnsi="Times New Roman" w:cs="Times New Roman"/>
          <w:bCs/>
          <w:sz w:val="28"/>
          <w:szCs w:val="28"/>
          <w:lang w:val="en"/>
        </w:rPr>
      </w:pPr>
      <w:r w:rsidRPr="001E1A34">
        <w:rPr>
          <w:rFonts w:ascii="Times New Roman" w:hAnsi="Times New Roman" w:cs="Times New Roman"/>
          <w:bCs/>
          <w:sz w:val="28"/>
          <w:szCs w:val="28"/>
          <w:lang w:val="en"/>
        </w:rPr>
        <w:t xml:space="preserve">Out of the </w:t>
      </w:r>
      <w:r w:rsidRPr="001E1A34">
        <w:rPr>
          <w:rFonts w:ascii="Times New Roman" w:hAnsi="Times New Roman" w:cs="Times New Roman"/>
          <w:b/>
          <w:bCs/>
          <w:sz w:val="28"/>
          <w:szCs w:val="28"/>
          <w:lang w:val="en"/>
        </w:rPr>
        <w:t>international documents</w:t>
      </w:r>
      <w:r w:rsidRPr="001E1A34">
        <w:rPr>
          <w:rFonts w:ascii="Times New Roman" w:hAnsi="Times New Roman" w:cs="Times New Roman"/>
          <w:bCs/>
          <w:sz w:val="28"/>
          <w:szCs w:val="28"/>
          <w:lang w:val="en"/>
        </w:rPr>
        <w:t xml:space="preserve"> it was the European Convention on </w:t>
      </w:r>
      <w:proofErr w:type="spellStart"/>
      <w:r w:rsidRPr="001E1A34">
        <w:rPr>
          <w:rFonts w:ascii="Times New Roman" w:hAnsi="Times New Roman" w:cs="Times New Roman"/>
          <w:bCs/>
          <w:sz w:val="28"/>
          <w:szCs w:val="28"/>
          <w:lang w:val="en"/>
        </w:rPr>
        <w:t>Transfrontier</w:t>
      </w:r>
      <w:proofErr w:type="spellEnd"/>
      <w:r w:rsidRPr="001E1A34">
        <w:rPr>
          <w:rFonts w:ascii="Times New Roman" w:hAnsi="Times New Roman" w:cs="Times New Roman"/>
          <w:bCs/>
          <w:sz w:val="28"/>
          <w:szCs w:val="28"/>
          <w:lang w:val="en"/>
        </w:rPr>
        <w:t xml:space="preserve"> Television (ECTT) and its EU equivalent, the Audiovisual </w:t>
      </w:r>
      <w:r w:rsidR="000A5D5A">
        <w:rPr>
          <w:rFonts w:ascii="Times New Roman" w:hAnsi="Times New Roman" w:cs="Times New Roman"/>
          <w:bCs/>
          <w:sz w:val="28"/>
          <w:szCs w:val="28"/>
          <w:lang w:val="en"/>
        </w:rPr>
        <w:t>Media Services Directive (AVMSD)</w:t>
      </w:r>
      <w:r w:rsidRPr="001E1A34">
        <w:rPr>
          <w:rFonts w:ascii="Times New Roman" w:hAnsi="Times New Roman" w:cs="Times New Roman"/>
          <w:bCs/>
          <w:sz w:val="28"/>
          <w:szCs w:val="28"/>
          <w:lang w:val="en"/>
        </w:rPr>
        <w:t xml:space="preserve"> that were most often invoked. The AVMSD was brought forward in Latvia and Lithuania to determine grounds for jurisdiction over Russian broadcasters </w:t>
      </w:r>
      <w:r w:rsidR="000A5D5A">
        <w:rPr>
          <w:rFonts w:ascii="Times New Roman" w:hAnsi="Times New Roman" w:cs="Times New Roman"/>
          <w:bCs/>
          <w:sz w:val="28"/>
          <w:szCs w:val="28"/>
          <w:lang w:val="en"/>
        </w:rPr>
        <w:t xml:space="preserve">de jure </w:t>
      </w:r>
      <w:r w:rsidRPr="001E1A34">
        <w:rPr>
          <w:rFonts w:ascii="Times New Roman" w:hAnsi="Times New Roman" w:cs="Times New Roman"/>
          <w:bCs/>
          <w:sz w:val="28"/>
          <w:szCs w:val="28"/>
          <w:lang w:val="en"/>
        </w:rPr>
        <w:t xml:space="preserve">registered and licensed in the EU. As to the </w:t>
      </w:r>
      <w:r w:rsidR="001E1A34" w:rsidRPr="001E1A34">
        <w:rPr>
          <w:rFonts w:ascii="Times New Roman" w:hAnsi="Times New Roman" w:cs="Times New Roman"/>
          <w:bCs/>
          <w:sz w:val="28"/>
          <w:szCs w:val="28"/>
          <w:lang w:val="en"/>
        </w:rPr>
        <w:t>ECTT</w:t>
      </w:r>
      <w:r w:rsidRPr="001E1A34">
        <w:rPr>
          <w:rFonts w:ascii="Times New Roman" w:hAnsi="Times New Roman" w:cs="Times New Roman"/>
          <w:bCs/>
          <w:sz w:val="28"/>
          <w:szCs w:val="28"/>
          <w:lang w:val="en"/>
        </w:rPr>
        <w:t xml:space="preserve">, the logic referred to it in several rulings in Ukraine was that it was the </w:t>
      </w:r>
      <w:r w:rsidR="001E1A34" w:rsidRPr="001E1A34">
        <w:rPr>
          <w:rFonts w:ascii="Times New Roman" w:hAnsi="Times New Roman" w:cs="Times New Roman"/>
          <w:bCs/>
          <w:sz w:val="28"/>
          <w:szCs w:val="28"/>
          <w:lang w:val="en"/>
        </w:rPr>
        <w:t>ECTT</w:t>
      </w:r>
      <w:r w:rsidRPr="001E1A34">
        <w:rPr>
          <w:rFonts w:ascii="Times New Roman" w:hAnsi="Times New Roman" w:cs="Times New Roman"/>
          <w:bCs/>
          <w:sz w:val="28"/>
          <w:szCs w:val="28"/>
          <w:lang w:val="en"/>
        </w:rPr>
        <w:t xml:space="preserve"> (in article 4) </w:t>
      </w:r>
      <w:r w:rsidR="00334345" w:rsidRPr="001E1A34">
        <w:rPr>
          <w:rFonts w:ascii="Times New Roman" w:hAnsi="Times New Roman" w:cs="Times New Roman"/>
          <w:bCs/>
          <w:sz w:val="28"/>
          <w:szCs w:val="28"/>
          <w:lang w:val="en"/>
        </w:rPr>
        <w:t xml:space="preserve">that </w:t>
      </w:r>
      <w:r w:rsidRPr="001E1A34">
        <w:rPr>
          <w:rFonts w:ascii="Times New Roman" w:hAnsi="Times New Roman" w:cs="Times New Roman"/>
          <w:bCs/>
          <w:sz w:val="28"/>
          <w:szCs w:val="28"/>
          <w:lang w:val="en"/>
        </w:rPr>
        <w:t xml:space="preserve">guaranteed its parties respect of article 10 of the </w:t>
      </w:r>
      <w:r w:rsidR="000A5D5A">
        <w:rPr>
          <w:rFonts w:ascii="Times New Roman" w:hAnsi="Times New Roman" w:cs="Times New Roman"/>
          <w:bCs/>
          <w:sz w:val="28"/>
          <w:szCs w:val="28"/>
        </w:rPr>
        <w:t>European Convention on Human Rights</w:t>
      </w:r>
      <w:r w:rsidR="000A5D5A" w:rsidRPr="001E1A34">
        <w:rPr>
          <w:rFonts w:ascii="Times New Roman" w:hAnsi="Times New Roman" w:cs="Times New Roman"/>
          <w:bCs/>
          <w:sz w:val="28"/>
          <w:szCs w:val="28"/>
          <w:lang w:val="en"/>
        </w:rPr>
        <w:t xml:space="preserve"> </w:t>
      </w:r>
      <w:r w:rsidR="000A5D5A">
        <w:rPr>
          <w:rFonts w:ascii="Times New Roman" w:hAnsi="Times New Roman" w:cs="Times New Roman"/>
          <w:bCs/>
          <w:sz w:val="28"/>
          <w:szCs w:val="28"/>
          <w:lang w:val="en"/>
        </w:rPr>
        <w:t>(</w:t>
      </w:r>
      <w:r w:rsidRPr="001E1A34">
        <w:rPr>
          <w:rFonts w:ascii="Times New Roman" w:hAnsi="Times New Roman" w:cs="Times New Roman"/>
          <w:bCs/>
          <w:sz w:val="28"/>
          <w:szCs w:val="28"/>
          <w:lang w:val="en"/>
        </w:rPr>
        <w:t>ECHR</w:t>
      </w:r>
      <w:r w:rsidR="000A5D5A">
        <w:rPr>
          <w:rFonts w:ascii="Times New Roman" w:hAnsi="Times New Roman" w:cs="Times New Roman"/>
          <w:bCs/>
          <w:sz w:val="28"/>
          <w:szCs w:val="28"/>
          <w:lang w:val="en"/>
        </w:rPr>
        <w:t>)</w:t>
      </w:r>
      <w:r w:rsidRPr="001E1A34">
        <w:rPr>
          <w:rFonts w:ascii="Times New Roman" w:hAnsi="Times New Roman" w:cs="Times New Roman"/>
          <w:bCs/>
          <w:sz w:val="28"/>
          <w:szCs w:val="28"/>
          <w:lang w:val="en"/>
        </w:rPr>
        <w:t xml:space="preserve">. As Russia was not such a party this provision apparently did not apply. Ukrainian law speaks of the need of the </w:t>
      </w:r>
      <w:proofErr w:type="spellStart"/>
      <w:r w:rsidRPr="001E1A34">
        <w:rPr>
          <w:rFonts w:ascii="Times New Roman" w:hAnsi="Times New Roman" w:cs="Times New Roman"/>
          <w:bCs/>
          <w:sz w:val="28"/>
          <w:szCs w:val="28"/>
          <w:lang w:val="en"/>
        </w:rPr>
        <w:t>programmes</w:t>
      </w:r>
      <w:proofErr w:type="spellEnd"/>
      <w:r w:rsidRPr="001E1A34">
        <w:rPr>
          <w:rFonts w:ascii="Times New Roman" w:hAnsi="Times New Roman" w:cs="Times New Roman"/>
          <w:bCs/>
          <w:sz w:val="28"/>
          <w:szCs w:val="28"/>
          <w:lang w:val="en"/>
        </w:rPr>
        <w:t xml:space="preserve"> rebroadcasted from outside this zone to be adapted to the </w:t>
      </w:r>
      <w:r w:rsidR="001E1A34" w:rsidRPr="001E1A34">
        <w:rPr>
          <w:rFonts w:ascii="Times New Roman" w:hAnsi="Times New Roman" w:cs="Times New Roman"/>
          <w:bCs/>
          <w:sz w:val="28"/>
          <w:szCs w:val="28"/>
          <w:lang w:val="en"/>
        </w:rPr>
        <w:t>ECTT</w:t>
      </w:r>
      <w:r w:rsidR="00334345" w:rsidRPr="001E1A34">
        <w:rPr>
          <w:rFonts w:ascii="Times New Roman" w:hAnsi="Times New Roman" w:cs="Times New Roman"/>
          <w:bCs/>
          <w:sz w:val="28"/>
          <w:szCs w:val="28"/>
          <w:lang w:val="en"/>
        </w:rPr>
        <w:t xml:space="preserve"> </w:t>
      </w:r>
      <w:r w:rsidR="00334345" w:rsidRPr="001E1A34">
        <w:rPr>
          <w:rFonts w:ascii="Times New Roman" w:hAnsi="Times New Roman" w:cs="Times New Roman"/>
          <w:bCs/>
          <w:sz w:val="28"/>
          <w:szCs w:val="28"/>
        </w:rPr>
        <w:t xml:space="preserve">and </w:t>
      </w:r>
      <w:r w:rsidRPr="001E1A34">
        <w:rPr>
          <w:rFonts w:ascii="Times New Roman" w:hAnsi="Times New Roman" w:cs="Times New Roman"/>
          <w:bCs/>
          <w:sz w:val="28"/>
          <w:szCs w:val="28"/>
          <w:lang w:val="en"/>
        </w:rPr>
        <w:t xml:space="preserve">Ukrainian law which was used as another argument to discriminate against Russian channels. As to direct references to the ECHR itself, it is quoted only in the Latvian </w:t>
      </w:r>
      <w:r w:rsidRPr="001E1A34">
        <w:rPr>
          <w:rFonts w:ascii="Times New Roman" w:hAnsi="Times New Roman" w:cs="Times New Roman"/>
          <w:bCs/>
          <w:sz w:val="28"/>
          <w:szCs w:val="28"/>
          <w:lang w:val="en"/>
        </w:rPr>
        <w:lastRenderedPageBreak/>
        <w:t xml:space="preserve">regulator’s ruling. The articles quoted are both 10 </w:t>
      </w:r>
      <w:r w:rsidRPr="001E1A34">
        <w:rPr>
          <w:rFonts w:ascii="Times New Roman" w:hAnsi="Times New Roman" w:cs="Times New Roman"/>
          <w:bCs/>
          <w:sz w:val="28"/>
          <w:szCs w:val="28"/>
        </w:rPr>
        <w:t xml:space="preserve">(“Freedom of expression”) </w:t>
      </w:r>
      <w:r w:rsidRPr="001E1A34">
        <w:rPr>
          <w:rFonts w:ascii="Times New Roman" w:hAnsi="Times New Roman" w:cs="Times New Roman"/>
          <w:bCs/>
          <w:sz w:val="28"/>
          <w:szCs w:val="28"/>
          <w:lang w:val="en"/>
        </w:rPr>
        <w:t>and 17</w:t>
      </w:r>
      <w:r w:rsidRPr="001E1A34">
        <w:rPr>
          <w:rFonts w:ascii="Times New Roman" w:hAnsi="Times New Roman" w:cs="Times New Roman"/>
          <w:bCs/>
          <w:sz w:val="28"/>
          <w:szCs w:val="28"/>
        </w:rPr>
        <w:t xml:space="preserve"> (“Prohibition of abuse of rights”). </w:t>
      </w:r>
      <w:r w:rsidRPr="001E1A34">
        <w:rPr>
          <w:rFonts w:ascii="Times New Roman" w:hAnsi="Times New Roman" w:cs="Times New Roman"/>
          <w:bCs/>
          <w:sz w:val="28"/>
          <w:szCs w:val="28"/>
          <w:lang w:val="en"/>
        </w:rPr>
        <w:t xml:space="preserve">It also referred to six cases adjudicated by the </w:t>
      </w:r>
      <w:r w:rsidR="000A5D5A">
        <w:rPr>
          <w:rFonts w:ascii="Times New Roman" w:hAnsi="Times New Roman" w:cs="Times New Roman"/>
          <w:bCs/>
          <w:sz w:val="28"/>
          <w:szCs w:val="28"/>
          <w:lang w:val="en"/>
        </w:rPr>
        <w:t>European Court of Human Rights (</w:t>
      </w:r>
      <w:proofErr w:type="spellStart"/>
      <w:r w:rsidRPr="001E1A34">
        <w:rPr>
          <w:rFonts w:ascii="Times New Roman" w:hAnsi="Times New Roman" w:cs="Times New Roman"/>
          <w:bCs/>
          <w:sz w:val="28"/>
          <w:szCs w:val="28"/>
          <w:lang w:val="en"/>
        </w:rPr>
        <w:t>E</w:t>
      </w:r>
      <w:r w:rsidR="000A5D5A">
        <w:rPr>
          <w:rFonts w:ascii="Times New Roman" w:hAnsi="Times New Roman" w:cs="Times New Roman"/>
          <w:bCs/>
          <w:sz w:val="28"/>
          <w:szCs w:val="28"/>
          <w:lang w:val="en"/>
        </w:rPr>
        <w:t>C</w:t>
      </w:r>
      <w:r w:rsidRPr="001E1A34">
        <w:rPr>
          <w:rFonts w:ascii="Times New Roman" w:hAnsi="Times New Roman" w:cs="Times New Roman"/>
          <w:bCs/>
          <w:sz w:val="28"/>
          <w:szCs w:val="28"/>
          <w:lang w:val="en"/>
        </w:rPr>
        <w:t>tHR</w:t>
      </w:r>
      <w:proofErr w:type="spellEnd"/>
      <w:r w:rsidR="000A5D5A">
        <w:rPr>
          <w:rFonts w:ascii="Times New Roman" w:hAnsi="Times New Roman" w:cs="Times New Roman"/>
          <w:bCs/>
          <w:sz w:val="28"/>
          <w:szCs w:val="28"/>
          <w:lang w:val="en"/>
        </w:rPr>
        <w:t>)</w:t>
      </w:r>
      <w:r w:rsidRPr="001E1A34">
        <w:rPr>
          <w:rFonts w:ascii="Times New Roman" w:hAnsi="Times New Roman" w:cs="Times New Roman"/>
          <w:bCs/>
          <w:sz w:val="28"/>
          <w:szCs w:val="28"/>
          <w:lang w:val="en"/>
        </w:rPr>
        <w:t xml:space="preserve">. This may be caused by general lack </w:t>
      </w:r>
      <w:r w:rsidR="00334345" w:rsidRPr="001E1A34">
        <w:rPr>
          <w:rFonts w:ascii="Times New Roman" w:hAnsi="Times New Roman" w:cs="Times New Roman"/>
          <w:bCs/>
          <w:sz w:val="28"/>
          <w:szCs w:val="28"/>
          <w:lang w:val="en"/>
        </w:rPr>
        <w:t xml:space="preserve">of </w:t>
      </w:r>
      <w:r w:rsidRPr="001E1A34">
        <w:rPr>
          <w:rFonts w:ascii="Times New Roman" w:hAnsi="Times New Roman" w:cs="Times New Roman"/>
          <w:bCs/>
          <w:sz w:val="28"/>
          <w:szCs w:val="28"/>
          <w:lang w:val="en"/>
        </w:rPr>
        <w:t xml:space="preserve">hate speech provisions in the </w:t>
      </w:r>
      <w:r w:rsidRPr="001E1A34">
        <w:rPr>
          <w:rFonts w:ascii="Times New Roman" w:hAnsi="Times New Roman" w:cs="Times New Roman"/>
          <w:bCs/>
          <w:sz w:val="28"/>
          <w:szCs w:val="28"/>
        </w:rPr>
        <w:t xml:space="preserve">ECHR. Even the cases of the </w:t>
      </w:r>
      <w:proofErr w:type="spellStart"/>
      <w:r w:rsidRPr="001E1A34">
        <w:rPr>
          <w:rFonts w:ascii="Times New Roman" w:hAnsi="Times New Roman" w:cs="Times New Roman"/>
          <w:bCs/>
          <w:sz w:val="28"/>
          <w:szCs w:val="28"/>
        </w:rPr>
        <w:t>ECtHR</w:t>
      </w:r>
      <w:proofErr w:type="spellEnd"/>
      <w:r w:rsidRPr="001E1A34">
        <w:rPr>
          <w:rFonts w:ascii="Times New Roman" w:hAnsi="Times New Roman" w:cs="Times New Roman"/>
          <w:bCs/>
          <w:sz w:val="28"/>
          <w:szCs w:val="28"/>
        </w:rPr>
        <w:t xml:space="preserve"> referred to dealt rather with issues of pluralism in public broadcasting; the need for journalists to observe professional ethics and </w:t>
      </w:r>
      <w:r w:rsidRPr="001E1A34">
        <w:rPr>
          <w:rStyle w:val="sfbbfee58"/>
          <w:rFonts w:ascii="Times New Roman" w:hAnsi="Times New Roman" w:cs="Times New Roman"/>
          <w:sz w:val="28"/>
          <w:szCs w:val="28"/>
        </w:rPr>
        <w:t xml:space="preserve">the general design of the </w:t>
      </w:r>
      <w:r w:rsidR="000A5D5A">
        <w:rPr>
          <w:rStyle w:val="sfbbfee58"/>
          <w:rFonts w:ascii="Times New Roman" w:hAnsi="Times New Roman" w:cs="Times New Roman"/>
          <w:sz w:val="28"/>
          <w:szCs w:val="28"/>
        </w:rPr>
        <w:t>ECHR</w:t>
      </w:r>
      <w:r w:rsidRPr="001E1A34">
        <w:rPr>
          <w:rStyle w:val="sfbbfee58"/>
          <w:rFonts w:ascii="Times New Roman" w:hAnsi="Times New Roman" w:cs="Times New Roman"/>
          <w:sz w:val="28"/>
          <w:szCs w:val="28"/>
        </w:rPr>
        <w:t xml:space="preserve"> to maintain and promote the ideals and values of a democratic society.</w:t>
      </w:r>
      <w:r w:rsidRPr="001E1A34">
        <w:rPr>
          <w:rFonts w:ascii="Times New Roman" w:hAnsi="Times New Roman" w:cs="Times New Roman"/>
          <w:bCs/>
          <w:sz w:val="28"/>
          <w:szCs w:val="28"/>
        </w:rPr>
        <w:t xml:space="preserve"> </w:t>
      </w:r>
      <w:r w:rsidRPr="001E1A34">
        <w:rPr>
          <w:rFonts w:ascii="Times New Roman" w:hAnsi="Times New Roman" w:cs="Times New Roman"/>
          <w:bCs/>
          <w:sz w:val="28"/>
          <w:szCs w:val="28"/>
          <w:lang w:val="en"/>
        </w:rPr>
        <w:t xml:space="preserve">None of the courts or regulators so far has made any references to the </w:t>
      </w:r>
      <w:r w:rsidRPr="001E1A34">
        <w:rPr>
          <w:rFonts w:ascii="Times New Roman" w:hAnsi="Times New Roman" w:cs="Times New Roman"/>
          <w:sz w:val="28"/>
          <w:szCs w:val="28"/>
        </w:rPr>
        <w:t xml:space="preserve">the International Covenant on Civil and Political Rights, either articles 19 or 20. The reasons could be inconclusive interpretations of the </w:t>
      </w:r>
      <w:r w:rsidRPr="000A5D5A">
        <w:rPr>
          <w:rFonts w:ascii="Times New Roman" w:hAnsi="Times New Roman" w:cs="Times New Roman"/>
          <w:sz w:val="28"/>
          <w:szCs w:val="28"/>
        </w:rPr>
        <w:t xml:space="preserve">meaning of article 20 by the </w:t>
      </w:r>
      <w:r w:rsidR="00334345" w:rsidRPr="000A5D5A">
        <w:rPr>
          <w:rFonts w:ascii="Times New Roman" w:hAnsi="Times New Roman" w:cs="Times New Roman"/>
          <w:bCs/>
          <w:sz w:val="28"/>
          <w:szCs w:val="28"/>
        </w:rPr>
        <w:t>UN Human Rights Committee</w:t>
      </w:r>
      <w:r w:rsidRPr="000A5D5A">
        <w:rPr>
          <w:rFonts w:ascii="Times New Roman" w:hAnsi="Times New Roman" w:cs="Times New Roman"/>
          <w:sz w:val="28"/>
          <w:szCs w:val="28"/>
        </w:rPr>
        <w:t xml:space="preserve">, as well as </w:t>
      </w:r>
      <w:r w:rsidR="00334345" w:rsidRPr="000A5D5A">
        <w:rPr>
          <w:rFonts w:ascii="Times New Roman" w:hAnsi="Times New Roman" w:cs="Times New Roman"/>
          <w:sz w:val="28"/>
          <w:szCs w:val="28"/>
        </w:rPr>
        <w:t>by</w:t>
      </w:r>
      <w:r w:rsidR="00334345" w:rsidRPr="001E1A34">
        <w:rPr>
          <w:rFonts w:ascii="Times New Roman" w:hAnsi="Times New Roman" w:cs="Times New Roman"/>
          <w:sz w:val="28"/>
          <w:szCs w:val="28"/>
        </w:rPr>
        <w:t xml:space="preserve"> </w:t>
      </w:r>
      <w:r w:rsidRPr="001E1A34">
        <w:rPr>
          <w:rFonts w:ascii="Times New Roman" w:hAnsi="Times New Roman" w:cs="Times New Roman"/>
          <w:sz w:val="28"/>
          <w:szCs w:val="28"/>
        </w:rPr>
        <w:t xml:space="preserve">more convenient substitution of article 19 of the ICCPR with article 10 of the ECHR, the latter being far more familiar instrument duly interpreted by the </w:t>
      </w:r>
      <w:proofErr w:type="spellStart"/>
      <w:r w:rsidRPr="001E1A34">
        <w:rPr>
          <w:rFonts w:ascii="Times New Roman" w:hAnsi="Times New Roman" w:cs="Times New Roman"/>
          <w:sz w:val="28"/>
          <w:szCs w:val="28"/>
        </w:rPr>
        <w:t>ECtHR</w:t>
      </w:r>
      <w:proofErr w:type="spellEnd"/>
      <w:r w:rsidRPr="001E1A34">
        <w:rPr>
          <w:rFonts w:ascii="Times New Roman" w:hAnsi="Times New Roman" w:cs="Times New Roman"/>
          <w:sz w:val="28"/>
          <w:szCs w:val="28"/>
        </w:rPr>
        <w:t xml:space="preserve">. </w:t>
      </w:r>
    </w:p>
    <w:p w:rsidR="00937DA2" w:rsidRPr="001E1A34" w:rsidRDefault="00937DA2" w:rsidP="00937DA2">
      <w:pPr>
        <w:pStyle w:val="ListParagraph"/>
        <w:numPr>
          <w:ilvl w:val="0"/>
          <w:numId w:val="1"/>
        </w:numPr>
        <w:ind w:firstLine="567"/>
        <w:rPr>
          <w:rFonts w:ascii="Times New Roman" w:hAnsi="Times New Roman" w:cs="Times New Roman"/>
          <w:bCs/>
          <w:sz w:val="28"/>
          <w:szCs w:val="28"/>
          <w:lang w:val="en"/>
        </w:rPr>
      </w:pPr>
      <w:r w:rsidRPr="001E1A34">
        <w:rPr>
          <w:rFonts w:ascii="Times New Roman" w:hAnsi="Times New Roman" w:cs="Times New Roman"/>
          <w:sz w:val="28"/>
          <w:szCs w:val="28"/>
        </w:rPr>
        <w:t xml:space="preserve">At least several of the decisions of regulators were instigated by state </w:t>
      </w:r>
      <w:r w:rsidRPr="001E1A34">
        <w:rPr>
          <w:rFonts w:ascii="Times New Roman" w:hAnsi="Times New Roman" w:cs="Times New Roman"/>
          <w:b/>
          <w:sz w:val="28"/>
          <w:szCs w:val="28"/>
        </w:rPr>
        <w:t>security agencies</w:t>
      </w:r>
      <w:r w:rsidRPr="001E1A34">
        <w:rPr>
          <w:rFonts w:ascii="Times New Roman" w:hAnsi="Times New Roman" w:cs="Times New Roman"/>
          <w:sz w:val="28"/>
          <w:szCs w:val="28"/>
        </w:rPr>
        <w:t xml:space="preserve">, such as Secret Police of Latvia and the </w:t>
      </w:r>
      <w:r w:rsidRPr="001E1A34">
        <w:rPr>
          <w:rFonts w:ascii="Times New Roman" w:hAnsi="Times New Roman" w:cs="Times New Roman"/>
          <w:bCs/>
          <w:sz w:val="28"/>
          <w:szCs w:val="28"/>
          <w:lang w:val="en"/>
        </w:rPr>
        <w:t xml:space="preserve">Council on National Security and </w:t>
      </w:r>
      <w:proofErr w:type="spellStart"/>
      <w:r w:rsidRPr="001E1A34">
        <w:rPr>
          <w:rFonts w:ascii="Times New Roman" w:hAnsi="Times New Roman" w:cs="Times New Roman"/>
          <w:bCs/>
          <w:sz w:val="28"/>
          <w:szCs w:val="28"/>
          <w:lang w:val="en"/>
        </w:rPr>
        <w:t>Defence</w:t>
      </w:r>
      <w:proofErr w:type="spellEnd"/>
      <w:r w:rsidRPr="001E1A34">
        <w:rPr>
          <w:rFonts w:ascii="Times New Roman" w:hAnsi="Times New Roman" w:cs="Times New Roman"/>
          <w:bCs/>
          <w:sz w:val="28"/>
          <w:szCs w:val="28"/>
          <w:lang w:val="en"/>
        </w:rPr>
        <w:t xml:space="preserve"> (RNBO) </w:t>
      </w:r>
      <w:r w:rsidRPr="001E1A34">
        <w:rPr>
          <w:rFonts w:ascii="Times New Roman" w:hAnsi="Times New Roman" w:cs="Times New Roman"/>
          <w:sz w:val="28"/>
          <w:szCs w:val="28"/>
        </w:rPr>
        <w:t>of Ukraine and were based on their conclusions and their monitoring of the content. These agencies apparently put pressure on the independent national regulators, which took urgent decisions sometimes without verifying the validity of complaints.</w:t>
      </w:r>
    </w:p>
    <w:p w:rsidR="00937DA2" w:rsidRPr="001E1A34" w:rsidRDefault="00937DA2" w:rsidP="00937DA2">
      <w:pPr>
        <w:pStyle w:val="ListParagraph"/>
        <w:numPr>
          <w:ilvl w:val="0"/>
          <w:numId w:val="1"/>
        </w:numPr>
        <w:ind w:firstLine="567"/>
        <w:rPr>
          <w:rFonts w:ascii="Times New Roman" w:hAnsi="Times New Roman" w:cs="Times New Roman"/>
          <w:bCs/>
          <w:sz w:val="28"/>
          <w:szCs w:val="28"/>
          <w:lang w:val="en"/>
        </w:rPr>
      </w:pPr>
      <w:r w:rsidRPr="001E1A34">
        <w:rPr>
          <w:rFonts w:ascii="Times New Roman" w:hAnsi="Times New Roman" w:cs="Times New Roman"/>
          <w:b/>
          <w:sz w:val="28"/>
          <w:szCs w:val="28"/>
        </w:rPr>
        <w:t>Context</w:t>
      </w:r>
      <w:r w:rsidRPr="001E1A34">
        <w:rPr>
          <w:rFonts w:ascii="Times New Roman" w:hAnsi="Times New Roman" w:cs="Times New Roman"/>
          <w:sz w:val="28"/>
          <w:szCs w:val="28"/>
        </w:rPr>
        <w:t xml:space="preserve"> of a</w:t>
      </w:r>
      <w:r w:rsidR="000A5D5A">
        <w:rPr>
          <w:rFonts w:ascii="Times New Roman" w:hAnsi="Times New Roman" w:cs="Times New Roman"/>
          <w:sz w:val="28"/>
          <w:szCs w:val="28"/>
        </w:rPr>
        <w:t>n</w:t>
      </w:r>
      <w:r w:rsidRPr="001E1A34">
        <w:rPr>
          <w:rFonts w:ascii="Times New Roman" w:hAnsi="Times New Roman" w:cs="Times New Roman"/>
          <w:sz w:val="28"/>
          <w:szCs w:val="28"/>
        </w:rPr>
        <w:t xml:space="preserve"> </w:t>
      </w:r>
      <w:r w:rsidR="000A5D5A">
        <w:rPr>
          <w:rFonts w:ascii="Times New Roman" w:hAnsi="Times New Roman" w:cs="Times New Roman"/>
          <w:sz w:val="28"/>
          <w:szCs w:val="28"/>
        </w:rPr>
        <w:t>imminent</w:t>
      </w:r>
      <w:r w:rsidR="00340E89" w:rsidRPr="001E1A34">
        <w:rPr>
          <w:rFonts w:ascii="Times New Roman" w:hAnsi="Times New Roman" w:cs="Times New Roman"/>
          <w:sz w:val="28"/>
          <w:szCs w:val="28"/>
        </w:rPr>
        <w:t xml:space="preserve"> </w:t>
      </w:r>
      <w:r w:rsidRPr="001E1A34">
        <w:rPr>
          <w:rFonts w:ascii="Times New Roman" w:hAnsi="Times New Roman" w:cs="Times New Roman"/>
          <w:sz w:val="28"/>
          <w:szCs w:val="28"/>
        </w:rPr>
        <w:t xml:space="preserve">threat of Russia’s aggression was a </w:t>
      </w:r>
      <w:r w:rsidR="00340E89" w:rsidRPr="001E1A34">
        <w:rPr>
          <w:rFonts w:ascii="Times New Roman" w:hAnsi="Times New Roman" w:cs="Times New Roman"/>
          <w:sz w:val="28"/>
          <w:szCs w:val="28"/>
        </w:rPr>
        <w:t xml:space="preserve">major </w:t>
      </w:r>
      <w:r w:rsidRPr="001E1A34">
        <w:rPr>
          <w:rFonts w:ascii="Times New Roman" w:hAnsi="Times New Roman" w:cs="Times New Roman"/>
          <w:sz w:val="28"/>
          <w:szCs w:val="28"/>
        </w:rPr>
        <w:t>factor in determining the level of the danger of war propaganda and hate speech of its broadcasts. It was particularly noted in decisions taken in Ukraine and Latvia, where it was also found as an argument of the national security agencies.</w:t>
      </w:r>
    </w:p>
    <w:p w:rsidR="00937DA2" w:rsidRPr="001E1A34" w:rsidRDefault="00937DA2" w:rsidP="00937DA2">
      <w:pPr>
        <w:pStyle w:val="ListParagraph"/>
        <w:numPr>
          <w:ilvl w:val="0"/>
          <w:numId w:val="1"/>
        </w:numPr>
        <w:ind w:firstLine="567"/>
        <w:rPr>
          <w:rFonts w:ascii="Times New Roman" w:hAnsi="Times New Roman" w:cs="Times New Roman"/>
          <w:bCs/>
          <w:sz w:val="28"/>
          <w:szCs w:val="28"/>
          <w:lang w:val="en"/>
        </w:rPr>
      </w:pPr>
      <w:r w:rsidRPr="001E1A34">
        <w:rPr>
          <w:rFonts w:ascii="Times New Roman" w:hAnsi="Times New Roman" w:cs="Times New Roman"/>
          <w:sz w:val="28"/>
          <w:szCs w:val="28"/>
        </w:rPr>
        <w:t xml:space="preserve">Another interesting aspect of the existing case law is </w:t>
      </w:r>
      <w:r w:rsidR="001E1A34" w:rsidRPr="001E1A34">
        <w:rPr>
          <w:rFonts w:ascii="Times New Roman" w:hAnsi="Times New Roman" w:cs="Times New Roman"/>
          <w:sz w:val="28"/>
          <w:szCs w:val="28"/>
        </w:rPr>
        <w:t xml:space="preserve">what is not there – and </w:t>
      </w:r>
      <w:r w:rsidRPr="001E1A34">
        <w:rPr>
          <w:rFonts w:ascii="Times New Roman" w:hAnsi="Times New Roman" w:cs="Times New Roman"/>
          <w:sz w:val="28"/>
          <w:szCs w:val="28"/>
        </w:rPr>
        <w:t xml:space="preserve">there are </w:t>
      </w:r>
      <w:r w:rsidRPr="001E1A34">
        <w:rPr>
          <w:rFonts w:ascii="Times New Roman" w:hAnsi="Times New Roman" w:cs="Times New Roman"/>
          <w:b/>
          <w:sz w:val="28"/>
          <w:szCs w:val="28"/>
        </w:rPr>
        <w:t xml:space="preserve">no </w:t>
      </w:r>
      <w:r w:rsidRPr="001E1A34">
        <w:rPr>
          <w:rFonts w:ascii="Times New Roman" w:hAnsi="Times New Roman" w:cs="Times New Roman"/>
          <w:sz w:val="28"/>
          <w:szCs w:val="28"/>
        </w:rPr>
        <w:t>known</w:t>
      </w:r>
      <w:r w:rsidRPr="001E1A34">
        <w:rPr>
          <w:rFonts w:ascii="Times New Roman" w:hAnsi="Times New Roman" w:cs="Times New Roman"/>
          <w:b/>
          <w:sz w:val="28"/>
          <w:szCs w:val="28"/>
        </w:rPr>
        <w:t xml:space="preserve"> criminal charges </w:t>
      </w:r>
      <w:r w:rsidRPr="001E1A34">
        <w:rPr>
          <w:rFonts w:ascii="Times New Roman" w:hAnsi="Times New Roman" w:cs="Times New Roman"/>
          <w:sz w:val="28"/>
          <w:szCs w:val="28"/>
        </w:rPr>
        <w:t xml:space="preserve">brought against individual journalists or editors for dissemination hate speech which is part and parcel of the criminal law of these countries. </w:t>
      </w:r>
    </w:p>
    <w:p w:rsidR="00937DA2" w:rsidRPr="001E1A34" w:rsidRDefault="00937DA2" w:rsidP="00937DA2">
      <w:pPr>
        <w:ind w:firstLine="567"/>
        <w:rPr>
          <w:rFonts w:ascii="Times New Roman" w:hAnsi="Times New Roman" w:cs="Times New Roman"/>
          <w:sz w:val="28"/>
          <w:szCs w:val="28"/>
        </w:rPr>
      </w:pPr>
      <w:r w:rsidRPr="001E1A34">
        <w:rPr>
          <w:rFonts w:ascii="Times New Roman" w:hAnsi="Times New Roman" w:cs="Times New Roman"/>
          <w:sz w:val="28"/>
          <w:szCs w:val="28"/>
        </w:rPr>
        <w:t xml:space="preserve">In 2014 </w:t>
      </w:r>
      <w:r w:rsidRPr="001E1A34">
        <w:rPr>
          <w:rFonts w:ascii="Times New Roman" w:hAnsi="Times New Roman" w:cs="Times New Roman"/>
          <w:bCs/>
          <w:sz w:val="28"/>
          <w:szCs w:val="28"/>
          <w:lang w:val="en"/>
        </w:rPr>
        <w:t>OSCE Representative on Freedom of the Media,</w:t>
      </w:r>
      <w:r w:rsidRPr="001E1A34">
        <w:rPr>
          <w:rFonts w:ascii="Times New Roman" w:hAnsi="Times New Roman" w:cs="Times New Roman"/>
          <w:sz w:val="28"/>
          <w:szCs w:val="28"/>
        </w:rPr>
        <w:t xml:space="preserve"> </w:t>
      </w:r>
      <w:proofErr w:type="spellStart"/>
      <w:r w:rsidRPr="001E1A34">
        <w:rPr>
          <w:rFonts w:ascii="Times New Roman" w:hAnsi="Times New Roman" w:cs="Times New Roman"/>
          <w:sz w:val="28"/>
          <w:szCs w:val="28"/>
          <w:lang w:val="en"/>
        </w:rPr>
        <w:t>Dunja</w:t>
      </w:r>
      <w:proofErr w:type="spellEnd"/>
      <w:r w:rsidRPr="001E1A34">
        <w:rPr>
          <w:rFonts w:ascii="Times New Roman" w:hAnsi="Times New Roman" w:cs="Times New Roman"/>
          <w:sz w:val="28"/>
          <w:szCs w:val="28"/>
          <w:lang w:val="en"/>
        </w:rPr>
        <w:t xml:space="preserve"> </w:t>
      </w:r>
      <w:proofErr w:type="spellStart"/>
      <w:r w:rsidRPr="001E1A34">
        <w:rPr>
          <w:rFonts w:ascii="Times New Roman" w:hAnsi="Times New Roman" w:cs="Times New Roman"/>
          <w:sz w:val="28"/>
          <w:szCs w:val="28"/>
          <w:lang w:val="en"/>
        </w:rPr>
        <w:t>Mijatović</w:t>
      </w:r>
      <w:proofErr w:type="spellEnd"/>
      <w:r w:rsidRPr="001E1A34">
        <w:rPr>
          <w:rFonts w:ascii="Times New Roman" w:hAnsi="Times New Roman" w:cs="Times New Roman"/>
          <w:sz w:val="28"/>
          <w:szCs w:val="28"/>
          <w:lang w:val="en"/>
        </w:rPr>
        <w:t xml:space="preserve"> </w:t>
      </w:r>
      <w:r w:rsidRPr="001E1A34">
        <w:rPr>
          <w:rFonts w:ascii="Times New Roman" w:hAnsi="Times New Roman" w:cs="Times New Roman"/>
          <w:sz w:val="28"/>
          <w:szCs w:val="28"/>
        </w:rPr>
        <w:t xml:space="preserve">has repeatedly called on governmental authorities to stop the uncontrolled proliferation of propaganda. In her Communiqué on Propaganda in Times of Crisis, published on 15 April 2014, she noted that propaganda is dangerous when it dominates the public sphere and prevents individuals from freely forming their opinions, thus distorting pluralism and the open exchange of </w:t>
      </w:r>
      <w:r w:rsidRPr="001E1A34">
        <w:rPr>
          <w:rFonts w:ascii="Times New Roman" w:hAnsi="Times New Roman" w:cs="Times New Roman"/>
          <w:sz w:val="28"/>
          <w:szCs w:val="28"/>
        </w:rPr>
        <w:lastRenderedPageBreak/>
        <w:t>ideas. For that reason governments should keep their hands off the news business, she said.</w:t>
      </w:r>
    </w:p>
    <w:p w:rsidR="00937DA2" w:rsidRPr="001E1A34" w:rsidRDefault="00937DA2" w:rsidP="00937DA2">
      <w:pPr>
        <w:ind w:firstLine="567"/>
        <w:rPr>
          <w:rFonts w:ascii="Times New Roman" w:hAnsi="Times New Roman" w:cs="Times New Roman"/>
          <w:sz w:val="28"/>
          <w:szCs w:val="28"/>
        </w:rPr>
      </w:pPr>
      <w:proofErr w:type="spellStart"/>
      <w:r w:rsidRPr="001E1A34">
        <w:rPr>
          <w:rFonts w:ascii="Times New Roman" w:hAnsi="Times New Roman" w:cs="Times New Roman"/>
          <w:sz w:val="28"/>
          <w:szCs w:val="28"/>
          <w:lang w:val="en"/>
        </w:rPr>
        <w:t>Mijatović</w:t>
      </w:r>
      <w:proofErr w:type="spellEnd"/>
      <w:r w:rsidRPr="001E1A34">
        <w:rPr>
          <w:rFonts w:ascii="Times New Roman" w:hAnsi="Times New Roman" w:cs="Times New Roman"/>
          <w:sz w:val="28"/>
          <w:szCs w:val="28"/>
        </w:rPr>
        <w:t xml:space="preserve"> also responded to governmental authorities that have taken measures to stop foreign propaganda, by banning or blocking radio and television signals or imposing other restrictions, such as ban on entry for Russian journalists or their eviction from governmental press centres in Ukraine. She made it very clear to all OSCE participating States that censoring propaganda is not the way to counter it. Only a well-functioning open, diverse and dynamic media environment can effectively neutralize the effect of propaganda. </w:t>
      </w:r>
    </w:p>
    <w:p w:rsidR="00937DA2" w:rsidRPr="001E1A34" w:rsidRDefault="00937DA2" w:rsidP="00937DA2">
      <w:pPr>
        <w:ind w:firstLine="567"/>
        <w:rPr>
          <w:rFonts w:ascii="Times New Roman" w:hAnsi="Times New Roman" w:cs="Times New Roman"/>
          <w:sz w:val="28"/>
          <w:szCs w:val="28"/>
          <w:lang w:val="en"/>
        </w:rPr>
      </w:pPr>
      <w:r w:rsidRPr="001E1A34">
        <w:rPr>
          <w:rFonts w:ascii="Times New Roman" w:hAnsi="Times New Roman" w:cs="Times New Roman"/>
          <w:sz w:val="28"/>
          <w:szCs w:val="28"/>
        </w:rPr>
        <w:t>The</w:t>
      </w:r>
      <w:r w:rsidRPr="001E1A34">
        <w:rPr>
          <w:rFonts w:ascii="Times New Roman" w:hAnsi="Times New Roman" w:cs="Times New Roman"/>
          <w:sz w:val="28"/>
          <w:szCs w:val="28"/>
          <w:lang w:val="en"/>
        </w:rPr>
        <w:t xml:space="preserve"> Representative provided the following recommendations to OSCE participating States:</w:t>
      </w:r>
    </w:p>
    <w:p w:rsidR="00937DA2" w:rsidRPr="001E1A34" w:rsidRDefault="00937DA2" w:rsidP="00937DA2">
      <w:pPr>
        <w:numPr>
          <w:ilvl w:val="0"/>
          <w:numId w:val="2"/>
        </w:numPr>
        <w:ind w:firstLine="567"/>
        <w:rPr>
          <w:rFonts w:ascii="Times New Roman" w:hAnsi="Times New Roman" w:cs="Times New Roman"/>
          <w:sz w:val="28"/>
          <w:szCs w:val="28"/>
          <w:lang w:val="en"/>
        </w:rPr>
      </w:pPr>
      <w:r w:rsidRPr="001E1A34">
        <w:rPr>
          <w:rFonts w:ascii="Times New Roman" w:hAnsi="Times New Roman" w:cs="Times New Roman"/>
          <w:sz w:val="28"/>
          <w:szCs w:val="28"/>
          <w:lang w:val="en"/>
        </w:rPr>
        <w:t>Stop manipulating media; stop information and psychological wars.</w:t>
      </w:r>
    </w:p>
    <w:p w:rsidR="00937DA2" w:rsidRPr="001E1A34" w:rsidRDefault="00937DA2" w:rsidP="00937DA2">
      <w:pPr>
        <w:numPr>
          <w:ilvl w:val="0"/>
          <w:numId w:val="2"/>
        </w:numPr>
        <w:ind w:firstLine="567"/>
        <w:rPr>
          <w:rFonts w:ascii="Times New Roman" w:hAnsi="Times New Roman" w:cs="Times New Roman"/>
          <w:sz w:val="28"/>
          <w:szCs w:val="28"/>
          <w:lang w:val="en"/>
        </w:rPr>
      </w:pPr>
      <w:r w:rsidRPr="001E1A34">
        <w:rPr>
          <w:rFonts w:ascii="Times New Roman" w:hAnsi="Times New Roman" w:cs="Times New Roman"/>
          <w:sz w:val="28"/>
          <w:szCs w:val="28"/>
          <w:lang w:val="en"/>
        </w:rPr>
        <w:t>Ensure media plurality and free media as an antidote to propaganda.</w:t>
      </w:r>
    </w:p>
    <w:p w:rsidR="00937DA2" w:rsidRPr="001E1A34" w:rsidRDefault="00937DA2" w:rsidP="00937DA2">
      <w:pPr>
        <w:numPr>
          <w:ilvl w:val="0"/>
          <w:numId w:val="2"/>
        </w:numPr>
        <w:ind w:firstLine="567"/>
        <w:rPr>
          <w:rFonts w:ascii="Times New Roman" w:hAnsi="Times New Roman" w:cs="Times New Roman"/>
          <w:sz w:val="28"/>
          <w:szCs w:val="28"/>
          <w:lang w:val="en"/>
        </w:rPr>
      </w:pPr>
      <w:r w:rsidRPr="001E1A34">
        <w:rPr>
          <w:rFonts w:ascii="Times New Roman" w:hAnsi="Times New Roman" w:cs="Times New Roman"/>
          <w:sz w:val="28"/>
          <w:szCs w:val="28"/>
          <w:lang w:val="en"/>
        </w:rPr>
        <w:t>Refrain from introducing new restrictions; existing laws can deal with extreme propaganda.</w:t>
      </w:r>
    </w:p>
    <w:p w:rsidR="00937DA2" w:rsidRPr="001E1A34" w:rsidRDefault="00937DA2" w:rsidP="00937DA2">
      <w:pPr>
        <w:numPr>
          <w:ilvl w:val="0"/>
          <w:numId w:val="2"/>
        </w:numPr>
        <w:ind w:firstLine="567"/>
        <w:rPr>
          <w:rFonts w:ascii="Times New Roman" w:hAnsi="Times New Roman" w:cs="Times New Roman"/>
          <w:sz w:val="28"/>
          <w:szCs w:val="28"/>
          <w:lang w:val="en"/>
        </w:rPr>
      </w:pPr>
      <w:r w:rsidRPr="001E1A34">
        <w:rPr>
          <w:rFonts w:ascii="Times New Roman" w:hAnsi="Times New Roman" w:cs="Times New Roman"/>
          <w:sz w:val="28"/>
          <w:szCs w:val="28"/>
          <w:lang w:val="en"/>
        </w:rPr>
        <w:t>Invest in media literacy for citizens to make informed choices.</w:t>
      </w:r>
    </w:p>
    <w:p w:rsidR="00937DA2" w:rsidRPr="001E1A34" w:rsidRDefault="00937DA2" w:rsidP="00937DA2">
      <w:pPr>
        <w:numPr>
          <w:ilvl w:val="0"/>
          <w:numId w:val="2"/>
        </w:numPr>
        <w:ind w:firstLine="567"/>
        <w:rPr>
          <w:rFonts w:ascii="Times New Roman" w:hAnsi="Times New Roman" w:cs="Times New Roman"/>
          <w:sz w:val="28"/>
          <w:szCs w:val="28"/>
          <w:lang w:val="en"/>
        </w:rPr>
      </w:pPr>
      <w:r w:rsidRPr="001E1A34">
        <w:rPr>
          <w:rFonts w:ascii="Times New Roman" w:hAnsi="Times New Roman" w:cs="Times New Roman"/>
          <w:sz w:val="28"/>
          <w:szCs w:val="28"/>
          <w:lang w:val="en"/>
        </w:rPr>
        <w:t>Reform state media into genuine public service broadcasting.</w:t>
      </w:r>
    </w:p>
    <w:p w:rsidR="00937DA2" w:rsidRPr="001E1A34" w:rsidRDefault="00937DA2" w:rsidP="00937DA2">
      <w:pPr>
        <w:ind w:firstLine="567"/>
        <w:rPr>
          <w:rFonts w:ascii="Times New Roman" w:hAnsi="Times New Roman" w:cs="Times New Roman"/>
          <w:sz w:val="28"/>
          <w:szCs w:val="28"/>
        </w:rPr>
      </w:pPr>
      <w:r w:rsidRPr="001E1A34">
        <w:rPr>
          <w:rFonts w:ascii="Times New Roman" w:hAnsi="Times New Roman" w:cs="Times New Roman"/>
          <w:sz w:val="28"/>
          <w:szCs w:val="28"/>
        </w:rPr>
        <w:t xml:space="preserve">Today’s world is interconnected with cultural and trade links more than ever; real </w:t>
      </w:r>
      <w:proofErr w:type="spellStart"/>
      <w:r w:rsidRPr="001E1A34">
        <w:rPr>
          <w:rFonts w:ascii="Times New Roman" w:hAnsi="Times New Roman" w:cs="Times New Roman"/>
          <w:sz w:val="28"/>
          <w:szCs w:val="28"/>
        </w:rPr>
        <w:t>transborder</w:t>
      </w:r>
      <w:proofErr w:type="spellEnd"/>
      <w:r w:rsidRPr="001E1A34">
        <w:rPr>
          <w:rFonts w:ascii="Times New Roman" w:hAnsi="Times New Roman" w:cs="Times New Roman"/>
          <w:sz w:val="28"/>
          <w:szCs w:val="28"/>
        </w:rPr>
        <w:t xml:space="preserve"> dissemination of information is made possible due to modern technologies; international travel becomes affordable for many. We argue that under these conditions propaganda for war becomes effective and makes sense only if there is a strong dominance of the governmental control of the media and/or tacit support of hate speech by the government. </w:t>
      </w:r>
    </w:p>
    <w:p w:rsidR="00937DA2" w:rsidRPr="001E1A34" w:rsidRDefault="00937DA2" w:rsidP="00937DA2">
      <w:pPr>
        <w:ind w:firstLine="567"/>
        <w:rPr>
          <w:rFonts w:ascii="Times New Roman" w:hAnsi="Times New Roman" w:cs="Times New Roman"/>
          <w:sz w:val="28"/>
          <w:szCs w:val="28"/>
        </w:rPr>
      </w:pPr>
      <w:r w:rsidRPr="001E1A34">
        <w:rPr>
          <w:rFonts w:ascii="Times New Roman" w:hAnsi="Times New Roman" w:cs="Times New Roman"/>
          <w:sz w:val="28"/>
          <w:szCs w:val="28"/>
        </w:rPr>
        <w:t>War propaganda can sustain in the media only when and where the government does not act against it. The silence of state prosecutors and courts on war propaganda, harassment by the law-enforcement agencies of the civil society critical of such policy, political attempts to isolate oppositional voices make it successful, at least in the short term.</w:t>
      </w:r>
    </w:p>
    <w:p w:rsidR="00937DA2" w:rsidRPr="001E1A34" w:rsidRDefault="00937DA2" w:rsidP="00937DA2">
      <w:pPr>
        <w:ind w:firstLine="567"/>
        <w:rPr>
          <w:rFonts w:ascii="Times New Roman" w:hAnsi="Times New Roman" w:cs="Times New Roman"/>
          <w:sz w:val="28"/>
          <w:szCs w:val="28"/>
        </w:rPr>
      </w:pPr>
      <w:r w:rsidRPr="001E1A34">
        <w:rPr>
          <w:rFonts w:ascii="Times New Roman" w:hAnsi="Times New Roman" w:cs="Times New Roman"/>
          <w:sz w:val="28"/>
          <w:szCs w:val="28"/>
        </w:rPr>
        <w:lastRenderedPageBreak/>
        <w:t>If enforced in a judicial manner that is complacent with the rule of law, prohibition of propaganda for war and hatred assists and not restricts further enjoyment of freedom of expression. To make this manner effective it should firmly rely on clear-cut definitions of crimes and a solid basis in normative acts. So far the national practice in the countries studied fails to prove this is the case. T</w:t>
      </w:r>
      <w:r w:rsidRPr="001E1A34">
        <w:rPr>
          <w:rFonts w:ascii="Times New Roman" w:hAnsi="Times New Roman" w:cs="Times New Roman"/>
          <w:bCs/>
          <w:sz w:val="28"/>
          <w:szCs w:val="28"/>
        </w:rPr>
        <w:t xml:space="preserve">he courts struggle in their analysis of propaganda, hatred, incitement and war. </w:t>
      </w:r>
    </w:p>
    <w:p w:rsidR="00937DA2" w:rsidRPr="001E1A34" w:rsidRDefault="00937DA2" w:rsidP="00937DA2">
      <w:pPr>
        <w:ind w:firstLine="567"/>
        <w:rPr>
          <w:rFonts w:ascii="Times New Roman" w:hAnsi="Times New Roman" w:cs="Times New Roman"/>
          <w:sz w:val="28"/>
          <w:szCs w:val="28"/>
        </w:rPr>
      </w:pPr>
      <w:r w:rsidRPr="001E1A34">
        <w:rPr>
          <w:rFonts w:ascii="Times New Roman" w:hAnsi="Times New Roman" w:cs="Times New Roman"/>
          <w:sz w:val="28"/>
          <w:szCs w:val="28"/>
        </w:rPr>
        <w:t>There are international reasons of this failure. They might be found in the following chain of developments:</w:t>
      </w:r>
    </w:p>
    <w:p w:rsidR="00937DA2" w:rsidRPr="001E1A34" w:rsidRDefault="00937DA2" w:rsidP="00937DA2">
      <w:pPr>
        <w:pStyle w:val="ListParagraph"/>
        <w:numPr>
          <w:ilvl w:val="0"/>
          <w:numId w:val="3"/>
        </w:numPr>
        <w:rPr>
          <w:rFonts w:ascii="Times New Roman" w:hAnsi="Times New Roman" w:cs="Times New Roman"/>
          <w:sz w:val="28"/>
          <w:szCs w:val="28"/>
        </w:rPr>
      </w:pPr>
      <w:r w:rsidRPr="001E1A34">
        <w:rPr>
          <w:rFonts w:ascii="Times New Roman" w:hAnsi="Times New Roman" w:cs="Times New Roman"/>
          <w:sz w:val="28"/>
          <w:szCs w:val="28"/>
        </w:rPr>
        <w:t xml:space="preserve">unwillingness of </w:t>
      </w:r>
      <w:r w:rsidR="000A5D5A">
        <w:rPr>
          <w:rFonts w:ascii="Times New Roman" w:hAnsi="Times New Roman" w:cs="Times New Roman"/>
          <w:sz w:val="28"/>
          <w:szCs w:val="28"/>
        </w:rPr>
        <w:t>some</w:t>
      </w:r>
      <w:r w:rsidRPr="001E1A34">
        <w:rPr>
          <w:rFonts w:ascii="Times New Roman" w:hAnsi="Times New Roman" w:cs="Times New Roman"/>
          <w:sz w:val="28"/>
          <w:szCs w:val="28"/>
        </w:rPr>
        <w:t xml:space="preserve"> states to restrict their own aggressive narratives in this context, </w:t>
      </w:r>
    </w:p>
    <w:p w:rsidR="00937DA2" w:rsidRPr="001E1A34" w:rsidRDefault="00937DA2" w:rsidP="00937DA2">
      <w:pPr>
        <w:pStyle w:val="ListParagraph"/>
        <w:numPr>
          <w:ilvl w:val="0"/>
          <w:numId w:val="3"/>
        </w:numPr>
        <w:rPr>
          <w:rFonts w:ascii="Times New Roman" w:hAnsi="Times New Roman" w:cs="Times New Roman"/>
          <w:sz w:val="28"/>
          <w:szCs w:val="28"/>
        </w:rPr>
      </w:pPr>
      <w:r w:rsidRPr="001E1A34">
        <w:rPr>
          <w:rFonts w:ascii="Times New Roman" w:hAnsi="Times New Roman" w:cs="Times New Roman"/>
          <w:sz w:val="28"/>
          <w:szCs w:val="28"/>
        </w:rPr>
        <w:t xml:space="preserve">their refusal to bring this issue to international bodies, </w:t>
      </w:r>
    </w:p>
    <w:p w:rsidR="00937DA2" w:rsidRPr="001E1A34" w:rsidRDefault="00937DA2" w:rsidP="00937DA2">
      <w:pPr>
        <w:pStyle w:val="ListParagraph"/>
        <w:numPr>
          <w:ilvl w:val="0"/>
          <w:numId w:val="3"/>
        </w:numPr>
        <w:rPr>
          <w:rFonts w:ascii="Times New Roman" w:hAnsi="Times New Roman" w:cs="Times New Roman"/>
          <w:sz w:val="28"/>
          <w:szCs w:val="28"/>
        </w:rPr>
      </w:pPr>
      <w:r w:rsidRPr="001E1A34">
        <w:rPr>
          <w:rFonts w:ascii="Times New Roman" w:hAnsi="Times New Roman" w:cs="Times New Roman"/>
          <w:sz w:val="28"/>
          <w:szCs w:val="28"/>
        </w:rPr>
        <w:t xml:space="preserve">fear of some governments to unacceptably endanger free expression by putting this issue on international agenda, </w:t>
      </w:r>
    </w:p>
    <w:p w:rsidR="00937DA2" w:rsidRPr="001E1A34" w:rsidRDefault="00937DA2" w:rsidP="00937DA2">
      <w:pPr>
        <w:pStyle w:val="ListParagraph"/>
        <w:numPr>
          <w:ilvl w:val="0"/>
          <w:numId w:val="3"/>
        </w:numPr>
        <w:rPr>
          <w:rFonts w:ascii="Times New Roman" w:hAnsi="Times New Roman" w:cs="Times New Roman"/>
          <w:sz w:val="28"/>
          <w:szCs w:val="28"/>
        </w:rPr>
      </w:pPr>
      <w:proofErr w:type="gramStart"/>
      <w:r w:rsidRPr="001E1A34">
        <w:rPr>
          <w:rFonts w:ascii="Times New Roman" w:hAnsi="Times New Roman" w:cs="Times New Roman"/>
          <w:sz w:val="28"/>
          <w:szCs w:val="28"/>
        </w:rPr>
        <w:t>and</w:t>
      </w:r>
      <w:proofErr w:type="gramEnd"/>
      <w:r w:rsidRPr="001E1A34">
        <w:rPr>
          <w:rFonts w:ascii="Times New Roman" w:hAnsi="Times New Roman" w:cs="Times New Roman"/>
          <w:sz w:val="28"/>
          <w:szCs w:val="28"/>
        </w:rPr>
        <w:t xml:space="preserve"> resulting inability of international bodies to provide clear guidelines.</w:t>
      </w:r>
    </w:p>
    <w:p w:rsidR="00937DA2" w:rsidRPr="00336CBF" w:rsidRDefault="00937DA2" w:rsidP="00937DA2">
      <w:pPr>
        <w:ind w:firstLine="567"/>
        <w:rPr>
          <w:rFonts w:ascii="Times New Roman" w:hAnsi="Times New Roman" w:cs="Times New Roman"/>
          <w:bCs/>
          <w:sz w:val="28"/>
          <w:szCs w:val="28"/>
        </w:rPr>
      </w:pPr>
      <w:r w:rsidRPr="001E1A34">
        <w:rPr>
          <w:rFonts w:ascii="Times New Roman" w:hAnsi="Times New Roman" w:cs="Times New Roman"/>
          <w:bCs/>
          <w:sz w:val="28"/>
          <w:szCs w:val="28"/>
          <w:lang w:val="en"/>
        </w:rPr>
        <w:t xml:space="preserve">“The gravest of man-made calamities to accost our world over the centuries – the  Inquisition, the slave trade, the Holocaust, the Soviet Union Gulag, the genocides in Cambodia or Rwanda – not only involved but actually </w:t>
      </w:r>
      <w:r w:rsidRPr="001E1A34">
        <w:rPr>
          <w:rFonts w:ascii="Times New Roman" w:hAnsi="Times New Roman" w:cs="Times New Roman"/>
          <w:bCs/>
          <w:i/>
          <w:sz w:val="28"/>
          <w:szCs w:val="28"/>
          <w:lang w:val="en"/>
        </w:rPr>
        <w:t>required</w:t>
      </w:r>
      <w:r w:rsidRPr="001E1A34">
        <w:rPr>
          <w:rFonts w:ascii="Times New Roman" w:hAnsi="Times New Roman" w:cs="Times New Roman"/>
          <w:bCs/>
          <w:sz w:val="28"/>
          <w:szCs w:val="28"/>
          <w:lang w:val="en"/>
        </w:rPr>
        <w:t xml:space="preserve"> a totalizing control of expression, opinion and, at times, even conscience… Hatred needs and is fed by censorship, which, in turn, is needed to nurture incitement to the actual commission of atrocity crimes. The lesson is clear: In our efforts to prevent mass atrocities, the free flow of information and freedom of expression are ultimately are our key allies – not our enemies.”</w:t>
      </w:r>
      <w:r w:rsidRPr="001E1A34">
        <w:rPr>
          <w:rFonts w:ascii="Times New Roman" w:hAnsi="Times New Roman" w:cs="Times New Roman"/>
          <w:bCs/>
          <w:sz w:val="28"/>
          <w:szCs w:val="28"/>
          <w:vertAlign w:val="superscript"/>
          <w:lang w:val="en"/>
        </w:rPr>
        <w:footnoteReference w:id="1"/>
      </w:r>
      <w:r w:rsidRPr="00336CBF">
        <w:rPr>
          <w:rFonts w:ascii="Times New Roman" w:hAnsi="Times New Roman" w:cs="Times New Roman"/>
          <w:bCs/>
          <w:sz w:val="28"/>
          <w:szCs w:val="28"/>
          <w:lang w:val="en"/>
        </w:rPr>
        <w:t xml:space="preserve"> </w:t>
      </w:r>
    </w:p>
    <w:sectPr w:rsidR="00937DA2" w:rsidRPr="00336C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62" w:rsidRDefault="004E6F62" w:rsidP="00937DA2">
      <w:pPr>
        <w:spacing w:after="0" w:line="240" w:lineRule="auto"/>
      </w:pPr>
      <w:r>
        <w:separator/>
      </w:r>
    </w:p>
  </w:endnote>
  <w:endnote w:type="continuationSeparator" w:id="0">
    <w:p w:rsidR="004E6F62" w:rsidRDefault="004E6F62" w:rsidP="0093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73851"/>
      <w:docPartObj>
        <w:docPartGallery w:val="Page Numbers (Bottom of Page)"/>
        <w:docPartUnique/>
      </w:docPartObj>
    </w:sdtPr>
    <w:sdtEndPr>
      <w:rPr>
        <w:noProof/>
      </w:rPr>
    </w:sdtEndPr>
    <w:sdtContent>
      <w:p w:rsidR="00800323" w:rsidRDefault="00800323">
        <w:pPr>
          <w:pStyle w:val="Footer"/>
          <w:jc w:val="center"/>
        </w:pPr>
        <w:r>
          <w:fldChar w:fldCharType="begin"/>
        </w:r>
        <w:r>
          <w:instrText xml:space="preserve"> PAGE   \* MERGEFORMAT </w:instrText>
        </w:r>
        <w:r>
          <w:fldChar w:fldCharType="separate"/>
        </w:r>
        <w:r w:rsidR="000A5D5A">
          <w:rPr>
            <w:noProof/>
          </w:rPr>
          <w:t>5</w:t>
        </w:r>
        <w:r>
          <w:rPr>
            <w:noProof/>
          </w:rPr>
          <w:fldChar w:fldCharType="end"/>
        </w:r>
      </w:p>
    </w:sdtContent>
  </w:sdt>
  <w:p w:rsidR="00800323" w:rsidRDefault="00800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62" w:rsidRDefault="004E6F62" w:rsidP="00937DA2">
      <w:pPr>
        <w:spacing w:after="0" w:line="240" w:lineRule="auto"/>
      </w:pPr>
      <w:r>
        <w:separator/>
      </w:r>
    </w:p>
  </w:footnote>
  <w:footnote w:type="continuationSeparator" w:id="0">
    <w:p w:rsidR="004E6F62" w:rsidRDefault="004E6F62" w:rsidP="00937DA2">
      <w:pPr>
        <w:spacing w:after="0" w:line="240" w:lineRule="auto"/>
      </w:pPr>
      <w:r>
        <w:continuationSeparator/>
      </w:r>
    </w:p>
  </w:footnote>
  <w:footnote w:id="1">
    <w:p w:rsidR="00937DA2" w:rsidRPr="00C028C8" w:rsidRDefault="00937DA2" w:rsidP="00937DA2">
      <w:pPr>
        <w:pStyle w:val="FootnoteText"/>
        <w:rPr>
          <w:rFonts w:ascii="Times New Roman" w:hAnsi="Times New Roman" w:cs="Times New Roman"/>
          <w:lang w:val="en"/>
        </w:rPr>
      </w:pPr>
      <w:r w:rsidRPr="00C028C8">
        <w:rPr>
          <w:rStyle w:val="FootnoteReference"/>
          <w:rFonts w:ascii="Times New Roman" w:hAnsi="Times New Roman" w:cs="Times New Roman"/>
        </w:rPr>
        <w:footnoteRef/>
      </w:r>
      <w:r w:rsidRPr="00C028C8">
        <w:rPr>
          <w:rFonts w:ascii="Times New Roman" w:hAnsi="Times New Roman" w:cs="Times New Roman"/>
          <w:iCs/>
        </w:rPr>
        <w:t xml:space="preserve"> </w:t>
      </w:r>
      <w:proofErr w:type="spellStart"/>
      <w:r w:rsidRPr="00C028C8">
        <w:rPr>
          <w:rFonts w:ascii="Times New Roman" w:hAnsi="Times New Roman" w:cs="Times New Roman"/>
          <w:iCs/>
        </w:rPr>
        <w:t>Callamard</w:t>
      </w:r>
      <w:proofErr w:type="spellEnd"/>
      <w:r w:rsidRPr="00C028C8">
        <w:rPr>
          <w:rFonts w:ascii="Times New Roman" w:hAnsi="Times New Roman" w:cs="Times New Roman"/>
          <w:iCs/>
        </w:rPr>
        <w:t xml:space="preserve">, Agnes (2014). </w:t>
      </w:r>
      <w:proofErr w:type="gramStart"/>
      <w:r w:rsidRPr="00C028C8">
        <w:rPr>
          <w:rFonts w:ascii="Times New Roman" w:hAnsi="Times New Roman" w:cs="Times New Roman"/>
          <w:lang w:val="en"/>
        </w:rPr>
        <w:t>The Contribution of Media and Information to an Effective Strategy of Prevention to Atrocity Crimes.</w:t>
      </w:r>
      <w:proofErr w:type="gramEnd"/>
      <w:r w:rsidRPr="00C028C8">
        <w:rPr>
          <w:rFonts w:ascii="Times New Roman" w:hAnsi="Times New Roman" w:cs="Times New Roman"/>
          <w:lang w:val="en"/>
        </w:rPr>
        <w:t xml:space="preserve"> </w:t>
      </w:r>
      <w:proofErr w:type="gramStart"/>
      <w:r w:rsidRPr="00C028C8">
        <w:rPr>
          <w:rFonts w:ascii="Times New Roman" w:hAnsi="Times New Roman" w:cs="Times New Roman"/>
          <w:lang w:val="en"/>
        </w:rPr>
        <w:t>Speech at UN Headquarters.</w:t>
      </w:r>
      <w:proofErr w:type="gramEnd"/>
      <w:r w:rsidRPr="00C028C8">
        <w:rPr>
          <w:rFonts w:ascii="Times New Roman" w:hAnsi="Times New Roman" w:cs="Times New Roman"/>
          <w:lang w:val="en"/>
        </w:rPr>
        <w:t xml:space="preserve"> URL: http://globalfreespeech.columbia.edu/publication/contribution-media-and-information-effective-strategy-prevention-atrocity-crimes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FB"/>
    <w:multiLevelType w:val="multilevel"/>
    <w:tmpl w:val="E59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A7D80"/>
    <w:multiLevelType w:val="hybridMultilevel"/>
    <w:tmpl w:val="318C2610"/>
    <w:lvl w:ilvl="0" w:tplc="58E488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4EE602BC"/>
    <w:multiLevelType w:val="hybridMultilevel"/>
    <w:tmpl w:val="062C171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553D3F15"/>
    <w:multiLevelType w:val="hybridMultilevel"/>
    <w:tmpl w:val="961C44C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A2"/>
    <w:rsid w:val="000A5D5A"/>
    <w:rsid w:val="001017AA"/>
    <w:rsid w:val="001E1A34"/>
    <w:rsid w:val="00334345"/>
    <w:rsid w:val="00336CBF"/>
    <w:rsid w:val="00340E89"/>
    <w:rsid w:val="003728CB"/>
    <w:rsid w:val="00484D6F"/>
    <w:rsid w:val="004E6F62"/>
    <w:rsid w:val="004F7893"/>
    <w:rsid w:val="00522588"/>
    <w:rsid w:val="00555183"/>
    <w:rsid w:val="00662EF1"/>
    <w:rsid w:val="00800323"/>
    <w:rsid w:val="00883C27"/>
    <w:rsid w:val="00891842"/>
    <w:rsid w:val="0093432D"/>
    <w:rsid w:val="00937DA2"/>
    <w:rsid w:val="00A02E0F"/>
    <w:rsid w:val="00B91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7DA2"/>
    <w:pPr>
      <w:spacing w:after="0" w:line="240" w:lineRule="auto"/>
    </w:pPr>
    <w:rPr>
      <w:sz w:val="20"/>
      <w:szCs w:val="20"/>
    </w:rPr>
  </w:style>
  <w:style w:type="character" w:customStyle="1" w:styleId="FootnoteTextChar">
    <w:name w:val="Footnote Text Char"/>
    <w:basedOn w:val="DefaultParagraphFont"/>
    <w:link w:val="FootnoteText"/>
    <w:uiPriority w:val="99"/>
    <w:rsid w:val="00937DA2"/>
    <w:rPr>
      <w:sz w:val="20"/>
      <w:szCs w:val="20"/>
    </w:rPr>
  </w:style>
  <w:style w:type="character" w:styleId="FootnoteReference">
    <w:name w:val="footnote reference"/>
    <w:basedOn w:val="DefaultParagraphFont"/>
    <w:uiPriority w:val="99"/>
    <w:semiHidden/>
    <w:unhideWhenUsed/>
    <w:rsid w:val="00937DA2"/>
    <w:rPr>
      <w:vertAlign w:val="superscript"/>
    </w:rPr>
  </w:style>
  <w:style w:type="paragraph" w:styleId="ListParagraph">
    <w:name w:val="List Paragraph"/>
    <w:basedOn w:val="Normal"/>
    <w:uiPriority w:val="34"/>
    <w:qFormat/>
    <w:rsid w:val="00937DA2"/>
    <w:pPr>
      <w:ind w:left="720"/>
      <w:contextualSpacing/>
    </w:pPr>
  </w:style>
  <w:style w:type="table" w:styleId="TableGrid">
    <w:name w:val="Table Grid"/>
    <w:basedOn w:val="TableNormal"/>
    <w:uiPriority w:val="59"/>
    <w:rsid w:val="00937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fbbfee58">
    <w:name w:val="sfbbfee58"/>
    <w:basedOn w:val="DefaultParagraphFont"/>
    <w:rsid w:val="00937DA2"/>
  </w:style>
  <w:style w:type="paragraph" w:styleId="Header">
    <w:name w:val="header"/>
    <w:basedOn w:val="Normal"/>
    <w:link w:val="HeaderChar"/>
    <w:uiPriority w:val="99"/>
    <w:unhideWhenUsed/>
    <w:rsid w:val="00800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323"/>
  </w:style>
  <w:style w:type="paragraph" w:styleId="Footer">
    <w:name w:val="footer"/>
    <w:basedOn w:val="Normal"/>
    <w:link w:val="FooterChar"/>
    <w:uiPriority w:val="99"/>
    <w:unhideWhenUsed/>
    <w:rsid w:val="00800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323"/>
  </w:style>
  <w:style w:type="character" w:styleId="Hyperlink">
    <w:name w:val="Hyperlink"/>
    <w:basedOn w:val="DefaultParagraphFont"/>
    <w:uiPriority w:val="99"/>
    <w:unhideWhenUsed/>
    <w:rsid w:val="000A5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7DA2"/>
    <w:pPr>
      <w:spacing w:after="0" w:line="240" w:lineRule="auto"/>
    </w:pPr>
    <w:rPr>
      <w:sz w:val="20"/>
      <w:szCs w:val="20"/>
    </w:rPr>
  </w:style>
  <w:style w:type="character" w:customStyle="1" w:styleId="FootnoteTextChar">
    <w:name w:val="Footnote Text Char"/>
    <w:basedOn w:val="DefaultParagraphFont"/>
    <w:link w:val="FootnoteText"/>
    <w:uiPriority w:val="99"/>
    <w:rsid w:val="00937DA2"/>
    <w:rPr>
      <w:sz w:val="20"/>
      <w:szCs w:val="20"/>
    </w:rPr>
  </w:style>
  <w:style w:type="character" w:styleId="FootnoteReference">
    <w:name w:val="footnote reference"/>
    <w:basedOn w:val="DefaultParagraphFont"/>
    <w:uiPriority w:val="99"/>
    <w:semiHidden/>
    <w:unhideWhenUsed/>
    <w:rsid w:val="00937DA2"/>
    <w:rPr>
      <w:vertAlign w:val="superscript"/>
    </w:rPr>
  </w:style>
  <w:style w:type="paragraph" w:styleId="ListParagraph">
    <w:name w:val="List Paragraph"/>
    <w:basedOn w:val="Normal"/>
    <w:uiPriority w:val="34"/>
    <w:qFormat/>
    <w:rsid w:val="00937DA2"/>
    <w:pPr>
      <w:ind w:left="720"/>
      <w:contextualSpacing/>
    </w:pPr>
  </w:style>
  <w:style w:type="table" w:styleId="TableGrid">
    <w:name w:val="Table Grid"/>
    <w:basedOn w:val="TableNormal"/>
    <w:uiPriority w:val="59"/>
    <w:rsid w:val="00937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fbbfee58">
    <w:name w:val="sfbbfee58"/>
    <w:basedOn w:val="DefaultParagraphFont"/>
    <w:rsid w:val="00937DA2"/>
  </w:style>
  <w:style w:type="paragraph" w:styleId="Header">
    <w:name w:val="header"/>
    <w:basedOn w:val="Normal"/>
    <w:link w:val="HeaderChar"/>
    <w:uiPriority w:val="99"/>
    <w:unhideWhenUsed/>
    <w:rsid w:val="00800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323"/>
  </w:style>
  <w:style w:type="paragraph" w:styleId="Footer">
    <w:name w:val="footer"/>
    <w:basedOn w:val="Normal"/>
    <w:link w:val="FooterChar"/>
    <w:uiPriority w:val="99"/>
    <w:unhideWhenUsed/>
    <w:rsid w:val="00800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323"/>
  </w:style>
  <w:style w:type="character" w:styleId="Hyperlink">
    <w:name w:val="Hyperlink"/>
    <w:basedOn w:val="DefaultParagraphFont"/>
    <w:uiPriority w:val="99"/>
    <w:unhideWhenUsed/>
    <w:rsid w:val="000A5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Georgievich Rikhter</dc:creator>
  <cp:lastModifiedBy>Andrey Georgievich Rikhter</cp:lastModifiedBy>
  <cp:revision>3</cp:revision>
  <dcterms:created xsi:type="dcterms:W3CDTF">2015-03-13T22:16:00Z</dcterms:created>
  <dcterms:modified xsi:type="dcterms:W3CDTF">2015-03-13T22:35:00Z</dcterms:modified>
</cp:coreProperties>
</file>